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72B5A4" w14:textId="350A1F16" w:rsidR="000830E3" w:rsidRDefault="00AE52BC" w:rsidP="00AE52BC">
      <w:pPr>
        <w:pStyle w:val="Pagedecouverture"/>
        <w:rPr>
          <w:noProof/>
        </w:rPr>
      </w:pPr>
      <w:bookmarkStart w:id="0" w:name="LW_BM_COVERPAGE"/>
      <w:r>
        <w:rPr>
          <w:noProof/>
        </w:rPr>
        <w:pict w14:anchorId="1F9FF7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C47A5FF-0515-4177-BB16-BEF2FAFCCFDB" style="width:455.25pt;height:548.25pt">
            <v:imagedata r:id="rId15" o:title=""/>
          </v:shape>
        </w:pict>
      </w:r>
    </w:p>
    <w:bookmarkEnd w:id="0"/>
    <w:p w14:paraId="2BAF3ADB" w14:textId="77777777" w:rsidR="000830E3" w:rsidRDefault="000830E3" w:rsidP="000830E3">
      <w:pPr>
        <w:rPr>
          <w:noProof/>
        </w:rPr>
        <w:sectPr w:rsidR="000830E3" w:rsidSect="00AE52BC">
          <w:headerReference w:type="even" r:id="rId16"/>
          <w:headerReference w:type="default" r:id="rId17"/>
          <w:footerReference w:type="even" r:id="rId18"/>
          <w:footerReference w:type="default" r:id="rId19"/>
          <w:headerReference w:type="first" r:id="rId20"/>
          <w:footerReference w:type="first" r:id="rId21"/>
          <w:pgSz w:w="11906" w:h="16838"/>
          <w:pgMar w:top="1134" w:right="1417" w:bottom="1134" w:left="1417" w:header="709" w:footer="709" w:gutter="0"/>
          <w:pgNumType w:start="0"/>
          <w:cols w:space="720"/>
          <w:docGrid w:linePitch="326"/>
        </w:sectPr>
      </w:pPr>
    </w:p>
    <w:p w14:paraId="5194CBDE" w14:textId="77777777" w:rsidR="002F67B6" w:rsidRPr="002F67B6" w:rsidRDefault="002F67B6" w:rsidP="002F67B6">
      <w:pPr>
        <w:pBdr>
          <w:top w:val="single" w:sz="4" w:space="1" w:color="auto"/>
          <w:left w:val="single" w:sz="4" w:space="4" w:color="auto"/>
          <w:bottom w:val="single" w:sz="4" w:space="17" w:color="auto"/>
          <w:right w:val="single" w:sz="4" w:space="4" w:color="auto"/>
        </w:pBdr>
        <w:rPr>
          <w:b/>
          <w:smallCaps/>
          <w:noProof/>
          <w:szCs w:val="24"/>
          <w:u w:val="single"/>
          <w:lang w:eastAsia="en-GB"/>
        </w:rPr>
      </w:pPr>
      <w:bookmarkStart w:id="1" w:name="_GoBack"/>
      <w:bookmarkEnd w:id="1"/>
      <w:r w:rsidRPr="002F67B6">
        <w:rPr>
          <w:b/>
          <w:smallCaps/>
          <w:noProof/>
          <w:szCs w:val="24"/>
          <w:u w:val="single"/>
          <w:lang w:eastAsia="en-GB"/>
        </w:rPr>
        <w:lastRenderedPageBreak/>
        <w:t xml:space="preserve">Abstract </w:t>
      </w:r>
    </w:p>
    <w:p w14:paraId="545DD911" w14:textId="7FAA17F2" w:rsidR="002F67B6" w:rsidRPr="002F67B6" w:rsidRDefault="002F67B6" w:rsidP="002F67B6">
      <w:pPr>
        <w:pBdr>
          <w:top w:val="single" w:sz="4" w:space="1" w:color="auto"/>
          <w:left w:val="single" w:sz="4" w:space="4" w:color="auto"/>
          <w:bottom w:val="single" w:sz="4" w:space="17" w:color="auto"/>
          <w:right w:val="single" w:sz="4" w:space="4" w:color="auto"/>
        </w:pBdr>
        <w:rPr>
          <w:noProof/>
          <w:lang w:eastAsia="en-GB"/>
        </w:rPr>
      </w:pPr>
      <w:r w:rsidRPr="002F67B6">
        <w:rPr>
          <w:noProof/>
          <w:lang w:eastAsia="en-GB"/>
        </w:rPr>
        <w:t>In Malta, a new Commissioner for Standards of the Judiciary has taken office. While political debate continued on the appointment of the Chief Justice, reforms to involve the judiciary in the process</w:t>
      </w:r>
      <w:r w:rsidRPr="002F67B6" w:rsidDel="00B05950">
        <w:rPr>
          <w:noProof/>
          <w:lang w:eastAsia="en-GB"/>
        </w:rPr>
        <w:t xml:space="preserve"> </w:t>
      </w:r>
      <w:r w:rsidRPr="002F67B6">
        <w:rPr>
          <w:noProof/>
          <w:lang w:eastAsia="en-GB"/>
        </w:rPr>
        <w:t xml:space="preserve">are still pending. </w:t>
      </w:r>
      <w:r w:rsidRPr="00E7192F">
        <w:rPr>
          <w:noProof/>
          <w:lang w:eastAsia="en-GB"/>
        </w:rPr>
        <w:t xml:space="preserve">Reforms to strengthen the independence of specialised tribunals </w:t>
      </w:r>
      <w:r w:rsidR="00F24234" w:rsidRPr="00E7192F">
        <w:rPr>
          <w:noProof/>
          <w:lang w:eastAsia="en-GB"/>
        </w:rPr>
        <w:t>are advancing</w:t>
      </w:r>
      <w:r w:rsidRPr="00E7192F">
        <w:rPr>
          <w:noProof/>
          <w:lang w:eastAsia="en-GB"/>
        </w:rPr>
        <w:t>. Notwithstanding the ongoing recruitment of staff and expansion of court premises, the need for an increase in resources for the judiciary remains. Recruitment of prosecutors continued, with the number of prosecutions increasing. A reform of the Lawyers’ Act remains pending</w:t>
      </w:r>
      <w:r w:rsidR="00FD2A23" w:rsidRPr="00E7192F">
        <w:rPr>
          <w:noProof/>
          <w:lang w:eastAsia="en-GB"/>
        </w:rPr>
        <w:t>.</w:t>
      </w:r>
      <w:r w:rsidRPr="00E7192F">
        <w:rPr>
          <w:noProof/>
          <w:lang w:eastAsia="en-GB"/>
        </w:rPr>
        <w:t xml:space="preserve"> </w:t>
      </w:r>
      <w:r w:rsidR="00FD2A23" w:rsidRPr="00E7192F">
        <w:rPr>
          <w:noProof/>
          <w:lang w:eastAsia="en-GB"/>
        </w:rPr>
        <w:t xml:space="preserve">The </w:t>
      </w:r>
      <w:r w:rsidRPr="00E7192F">
        <w:rPr>
          <w:noProof/>
          <w:lang w:eastAsia="en-GB"/>
        </w:rPr>
        <w:t>framework for judicial training could be improved.</w:t>
      </w:r>
      <w:r w:rsidRPr="00E7192F" w:rsidDel="00BA0A0B">
        <w:rPr>
          <w:noProof/>
          <w:lang w:eastAsia="en-GB"/>
        </w:rPr>
        <w:t xml:space="preserve"> </w:t>
      </w:r>
      <w:r w:rsidRPr="00E7192F">
        <w:rPr>
          <w:noProof/>
          <w:lang w:eastAsia="en-GB"/>
        </w:rPr>
        <w:t>Investments in the digitalisation of justice are</w:t>
      </w:r>
      <w:r w:rsidRPr="00E7192F">
        <w:rPr>
          <w:rFonts w:eastAsiaTheme="minorHAnsi" w:cstheme="minorBidi"/>
          <w:noProof/>
          <w:szCs w:val="22"/>
          <w:lang w:val="en-US" w:eastAsia="en-US"/>
        </w:rPr>
        <w:t xml:space="preserve"> </w:t>
      </w:r>
      <w:r w:rsidRPr="00E7192F">
        <w:rPr>
          <w:noProof/>
          <w:lang w:eastAsia="en-GB"/>
        </w:rPr>
        <w:t xml:space="preserve">advancing </w:t>
      </w:r>
      <w:r w:rsidR="009C6A36" w:rsidRPr="00E7192F">
        <w:rPr>
          <w:noProof/>
          <w:lang w:eastAsia="en-GB"/>
        </w:rPr>
        <w:t xml:space="preserve">at </w:t>
      </w:r>
      <w:r w:rsidR="00F53EBA">
        <w:rPr>
          <w:noProof/>
          <w:lang w:eastAsia="en-GB"/>
        </w:rPr>
        <w:t>a</w:t>
      </w:r>
      <w:r w:rsidR="009C6A36" w:rsidRPr="00E7192F">
        <w:rPr>
          <w:noProof/>
          <w:lang w:eastAsia="en-GB"/>
        </w:rPr>
        <w:t xml:space="preserve"> limited pace</w:t>
      </w:r>
      <w:r w:rsidRPr="00E7192F">
        <w:rPr>
          <w:noProof/>
          <w:lang w:eastAsia="en-GB"/>
        </w:rPr>
        <w:t xml:space="preserve">, and a number of systems </w:t>
      </w:r>
      <w:r w:rsidR="002A418C" w:rsidRPr="00E7192F">
        <w:rPr>
          <w:noProof/>
          <w:lang w:eastAsia="en-GB"/>
        </w:rPr>
        <w:t xml:space="preserve">are still </w:t>
      </w:r>
      <w:r w:rsidRPr="00E7192F">
        <w:rPr>
          <w:noProof/>
          <w:lang w:eastAsia="en-GB"/>
        </w:rPr>
        <w:t>to be implemented. Reforms have been adopted to improve the specialisation of courts</w:t>
      </w:r>
      <w:r w:rsidR="000C2E08" w:rsidRPr="00E7192F">
        <w:rPr>
          <w:noProof/>
          <w:lang w:eastAsia="en-GB"/>
        </w:rPr>
        <w:t>, including the establishment of a Commercial Court and a reform of the Family Court</w:t>
      </w:r>
      <w:r w:rsidRPr="00E7192F">
        <w:rPr>
          <w:noProof/>
          <w:lang w:eastAsia="en-GB"/>
        </w:rPr>
        <w:t>. Initiatives to expedite court procedures are pending. The length of proceedings remains a concern.</w:t>
      </w:r>
    </w:p>
    <w:p w14:paraId="2F5D3DB7" w14:textId="77777777" w:rsidR="002F67B6" w:rsidRPr="002F67B6" w:rsidRDefault="002F67B6" w:rsidP="002F67B6">
      <w:pPr>
        <w:pBdr>
          <w:top w:val="single" w:sz="4" w:space="1" w:color="auto"/>
          <w:left w:val="single" w:sz="4" w:space="4" w:color="auto"/>
          <w:bottom w:val="single" w:sz="4" w:space="17" w:color="auto"/>
          <w:right w:val="single" w:sz="4" w:space="4" w:color="auto"/>
        </w:pBdr>
        <w:rPr>
          <w:noProof/>
          <w:szCs w:val="22"/>
          <w:lang w:eastAsia="en-GB"/>
        </w:rPr>
      </w:pPr>
      <w:r w:rsidRPr="002F67B6">
        <w:rPr>
          <w:noProof/>
          <w:szCs w:val="22"/>
          <w:lang w:eastAsia="en-GB"/>
        </w:rPr>
        <w:t xml:space="preserve">Most actions under the National Anti-Fraud and Corruption Strategy have been completed, and the authorities are preparing a new strategy. The Police and the Attorney General continued to increase their resources and launched new investigations and prosecutions into corruption cases, while a robust track record of final judgments remains to be achieved. The capacity of the Permanent Commission against Corruption to effectively contribute to the investigation and prosecution of corruption cases remains limited. Integrity training for the public service continued to be delivered and the police adopted a corporate strategy for the years 2025 to 2030. Action remains to be taken to improve the overall ethics framework of the public administration. A reform of asset and interest declarations for Members of Parliament and Ministers remains outstanding. A digital portal to process whistleblowing reports has become operational. Malta has adopted legislative amendments on the granting of citizenship, following the judgment of the Court of Justice of the EU. Resources for audit institutions further increased and officials in charge of tenders are now required to declare any conflict of interest, while action remains to be taken to effectively mitigate corruption in high-risk sectors such as public procurement. </w:t>
      </w:r>
    </w:p>
    <w:p w14:paraId="27155579" w14:textId="77777777" w:rsidR="002F67B6" w:rsidRPr="002F67B6" w:rsidRDefault="002F67B6" w:rsidP="002F67B6">
      <w:pPr>
        <w:pBdr>
          <w:top w:val="single" w:sz="4" w:space="1" w:color="auto"/>
          <w:left w:val="single" w:sz="4" w:space="4" w:color="auto"/>
          <w:bottom w:val="single" w:sz="4" w:space="17" w:color="auto"/>
          <w:right w:val="single" w:sz="4" w:space="4" w:color="auto"/>
        </w:pBdr>
        <w:rPr>
          <w:noProof/>
          <w:lang w:eastAsia="en-GB"/>
        </w:rPr>
      </w:pPr>
      <w:r w:rsidRPr="002F67B6">
        <w:rPr>
          <w:noProof/>
          <w:lang w:eastAsia="en-GB"/>
        </w:rPr>
        <w:t xml:space="preserve">Legislation was adopted providing the media regulator with new competences and enhancing certain aspects of the independent governance of public service media, while challenges persist. An </w:t>
      </w:r>
      <w:r w:rsidRPr="002F67B6">
        <w:rPr>
          <w:noProof/>
          <w:szCs w:val="22"/>
          <w:lang w:eastAsia="fr-FR"/>
        </w:rPr>
        <w:t>integrated e-management system, designed to enhance the processing, accessibility and transparency of access to documents requests, became operational</w:t>
      </w:r>
      <w:r w:rsidRPr="002F67B6">
        <w:rPr>
          <w:noProof/>
          <w:lang w:eastAsia="fr-FR"/>
        </w:rPr>
        <w:t>. While certain safeguards have been introduced in relation to protection of sources and confidential communications, protection against surveillance and a ban on intrusive surveillance software, legislative reforms remain pending to improve the protection of media freedom and the working environment of journalists.</w:t>
      </w:r>
      <w:r w:rsidRPr="002F67B6">
        <w:rPr>
          <w:noProof/>
          <w:lang w:eastAsia="en-GB"/>
        </w:rPr>
        <w:t xml:space="preserve"> </w:t>
      </w:r>
    </w:p>
    <w:p w14:paraId="787CBB13" w14:textId="4066EC6B" w:rsidR="002F67B6" w:rsidRPr="002F67B6" w:rsidRDefault="002F67B6" w:rsidP="002F67B6">
      <w:pPr>
        <w:pBdr>
          <w:top w:val="single" w:sz="4" w:space="1" w:color="auto"/>
          <w:left w:val="single" w:sz="4" w:space="4" w:color="auto"/>
          <w:bottom w:val="single" w:sz="4" w:space="17" w:color="auto"/>
          <w:right w:val="single" w:sz="4" w:space="4" w:color="auto"/>
        </w:pBdr>
        <w:rPr>
          <w:noProof/>
          <w:lang w:eastAsia="en-GB"/>
        </w:rPr>
      </w:pPr>
      <w:r w:rsidRPr="002F67B6">
        <w:rPr>
          <w:rFonts w:eastAsiaTheme="minorHAnsi" w:cstheme="minorBidi"/>
          <w:noProof/>
          <w:szCs w:val="22"/>
          <w:lang w:eastAsia="en-GB"/>
        </w:rPr>
        <w:t xml:space="preserve">Limited steps were taken towards establishing a formal framework for public participation in the legislative process. A National Human </w:t>
      </w:r>
      <w:r w:rsidRPr="00E7192F">
        <w:rPr>
          <w:rFonts w:eastAsiaTheme="minorHAnsi" w:cstheme="minorBidi"/>
          <w:noProof/>
          <w:szCs w:val="22"/>
          <w:lang w:eastAsia="en-GB"/>
        </w:rPr>
        <w:t>Rights Institution, as well as a regulatory framework for civil society, remain to be established</w:t>
      </w:r>
      <w:r w:rsidR="00CC17DB" w:rsidRPr="00E7192F">
        <w:rPr>
          <w:rFonts w:eastAsiaTheme="minorHAnsi" w:cstheme="minorBidi"/>
          <w:noProof/>
          <w:szCs w:val="22"/>
          <w:lang w:eastAsia="en-GB"/>
        </w:rPr>
        <w:t>;</w:t>
      </w:r>
      <w:r w:rsidRPr="00E7192F">
        <w:rPr>
          <w:rFonts w:eastAsiaTheme="minorHAnsi" w:cstheme="minorBidi"/>
          <w:noProof/>
          <w:szCs w:val="22"/>
          <w:lang w:eastAsia="en-US"/>
        </w:rPr>
        <w:t xml:space="preserve"> </w:t>
      </w:r>
      <w:r w:rsidR="00CC17DB" w:rsidRPr="00E7192F">
        <w:rPr>
          <w:rFonts w:eastAsiaTheme="minorHAnsi" w:cstheme="minorBidi"/>
          <w:noProof/>
          <w:szCs w:val="22"/>
          <w:lang w:eastAsia="en-US"/>
        </w:rPr>
        <w:t xml:space="preserve">the Government announced both reforms would be </w:t>
      </w:r>
      <w:r w:rsidR="001A0786" w:rsidRPr="00E7192F">
        <w:rPr>
          <w:rFonts w:eastAsiaTheme="minorHAnsi" w:cstheme="minorBidi"/>
          <w:noProof/>
          <w:szCs w:val="22"/>
          <w:lang w:eastAsia="en-US"/>
        </w:rPr>
        <w:t xml:space="preserve">treated as a </w:t>
      </w:r>
      <w:r w:rsidR="00AD77BC" w:rsidRPr="00216265">
        <w:rPr>
          <w:rFonts w:eastAsiaTheme="minorHAnsi" w:cstheme="minorBidi"/>
          <w:noProof/>
          <w:szCs w:val="22"/>
          <w:lang w:eastAsia="en-US"/>
        </w:rPr>
        <w:t xml:space="preserve">policy </w:t>
      </w:r>
      <w:r w:rsidR="001A0786" w:rsidRPr="00E7192F">
        <w:rPr>
          <w:rFonts w:eastAsiaTheme="minorHAnsi" w:cstheme="minorBidi"/>
          <w:noProof/>
          <w:szCs w:val="22"/>
          <w:lang w:eastAsia="en-US"/>
        </w:rPr>
        <w:t>priority in</w:t>
      </w:r>
      <w:r w:rsidR="006977EC" w:rsidRPr="00E7192F">
        <w:rPr>
          <w:rFonts w:eastAsiaTheme="minorHAnsi" w:cstheme="minorBidi"/>
          <w:noProof/>
          <w:szCs w:val="22"/>
          <w:lang w:eastAsia="en-US"/>
        </w:rPr>
        <w:t xml:space="preserve"> the new Legislature.</w:t>
      </w:r>
    </w:p>
    <w:p w14:paraId="6421C9FA" w14:textId="77777777" w:rsidR="002F67B6" w:rsidRDefault="002F67B6" w:rsidP="002F67B6">
      <w:pPr>
        <w:rPr>
          <w:noProof/>
          <w:lang w:eastAsia="en-GB"/>
        </w:rPr>
      </w:pPr>
      <w:r w:rsidRPr="002F67B6">
        <w:rPr>
          <w:noProof/>
          <w:lang w:eastAsia="en-GB"/>
        </w:rPr>
        <w:br w:type="page"/>
      </w:r>
    </w:p>
    <w:p w14:paraId="7C96EB7E" w14:textId="77777777" w:rsidR="007D5AB4" w:rsidRPr="00855ABF" w:rsidRDefault="007D5AB4" w:rsidP="007D5AB4">
      <w:pPr>
        <w:pageBreakBefore/>
        <w:pBdr>
          <w:top w:val="single" w:sz="4" w:space="1" w:color="auto"/>
          <w:left w:val="single" w:sz="4" w:space="4" w:color="auto"/>
          <w:bottom w:val="single" w:sz="4" w:space="17" w:color="auto"/>
          <w:right w:val="single" w:sz="4" w:space="4" w:color="auto"/>
        </w:pBdr>
        <w:rPr>
          <w:b/>
          <w:smallCaps/>
          <w:noProof/>
          <w:szCs w:val="24"/>
          <w:u w:val="single"/>
          <w:lang w:eastAsia="en-GB"/>
        </w:rPr>
      </w:pPr>
      <w:bookmarkStart w:id="2" w:name="_Hlk202256986"/>
      <w:r w:rsidRPr="00855ABF">
        <w:rPr>
          <w:b/>
          <w:smallCaps/>
          <w:noProof/>
          <w:szCs w:val="24"/>
          <w:u w:val="single"/>
          <w:lang w:eastAsia="en-GB"/>
        </w:rPr>
        <w:lastRenderedPageBreak/>
        <w:t>Recommendations</w:t>
      </w:r>
    </w:p>
    <w:p w14:paraId="5EF3DF98" w14:textId="77777777" w:rsidR="00A75DE3" w:rsidRPr="00A75DE3" w:rsidRDefault="00A75DE3" w:rsidP="00A75DE3">
      <w:pPr>
        <w:pBdr>
          <w:top w:val="single" w:sz="4" w:space="1" w:color="auto"/>
          <w:left w:val="single" w:sz="4" w:space="4" w:color="auto"/>
          <w:bottom w:val="single" w:sz="4" w:space="17" w:color="auto"/>
          <w:right w:val="single" w:sz="4" w:space="4" w:color="auto"/>
        </w:pBdr>
        <w:spacing w:after="0" w:line="259" w:lineRule="auto"/>
        <w:rPr>
          <w:noProof/>
          <w:lang w:val="en-IE"/>
        </w:rPr>
      </w:pPr>
      <w:r>
        <w:rPr>
          <w:noProof/>
          <w:lang w:val="en-IE"/>
        </w:rPr>
        <w:t xml:space="preserve">Overall, based on the recommendations in the 2025 Rule of Law Report, considering other developments that took place in the period of reference and in addition to recalling the relevant commitments made under the Recovery and Resilience Plan, and the country-specific recommendation under the European Semester on the efficiency of the justice system, the Commission concludes the following: </w:t>
      </w:r>
    </w:p>
    <w:p w14:paraId="4CD5A3D5" w14:textId="77777777" w:rsidR="00A75DE3" w:rsidRPr="00A75DE3" w:rsidRDefault="00A75DE3" w:rsidP="00A75DE3">
      <w:pPr>
        <w:pBdr>
          <w:top w:val="single" w:sz="4" w:space="1" w:color="auto"/>
          <w:left w:val="single" w:sz="4" w:space="4" w:color="auto"/>
          <w:bottom w:val="single" w:sz="4" w:space="17" w:color="auto"/>
          <w:right w:val="single" w:sz="4" w:space="4" w:color="auto"/>
        </w:pBdr>
        <w:spacing w:after="0" w:line="259" w:lineRule="auto"/>
        <w:rPr>
          <w:noProof/>
          <w:lang w:val="en-IE"/>
        </w:rPr>
      </w:pPr>
    </w:p>
    <w:p w14:paraId="3AFB0582" w14:textId="77777777" w:rsidR="00A75DE3" w:rsidRPr="00A75DE3" w:rsidRDefault="00A75DE3" w:rsidP="00A75DE3">
      <w:pPr>
        <w:numPr>
          <w:ilvl w:val="0"/>
          <w:numId w:val="41"/>
        </w:numPr>
        <w:pBdr>
          <w:top w:val="single" w:sz="4" w:space="1" w:color="auto"/>
          <w:left w:val="single" w:sz="4" w:space="4" w:color="auto"/>
          <w:bottom w:val="single" w:sz="4" w:space="17" w:color="auto"/>
          <w:right w:val="single" w:sz="4" w:space="4" w:color="auto"/>
        </w:pBdr>
        <w:spacing w:after="0" w:line="259" w:lineRule="auto"/>
        <w:rPr>
          <w:noProof/>
          <w:lang w:val="en-IE"/>
        </w:rPr>
      </w:pPr>
      <w:r>
        <w:rPr>
          <w:noProof/>
          <w:lang w:val="en-IE"/>
        </w:rPr>
        <w:t xml:space="preserve">There has been no further progress on the tabled reform to involve the judiciary in the procedure for the appointment of the Chief Justice, as the political debate continued. As the reform is still pending, it is recommended to Malta to </w:t>
      </w:r>
      <w:r>
        <w:rPr>
          <w:i/>
          <w:noProof/>
          <w:lang w:val="en-IE"/>
        </w:rPr>
        <w:t>take forward reforms with a view to involve the judiciary in the procedure for the appointment of the Chief Justice, taking into account European standards on judicial appointments</w:t>
      </w:r>
      <w:r>
        <w:rPr>
          <w:noProof/>
          <w:lang w:val="en-IE"/>
        </w:rPr>
        <w:t xml:space="preserve">. </w:t>
      </w:r>
    </w:p>
    <w:p w14:paraId="4B0F31FB" w14:textId="77777777" w:rsidR="00A75DE3" w:rsidRPr="00A75DE3" w:rsidRDefault="00A75DE3" w:rsidP="00A75DE3">
      <w:pPr>
        <w:numPr>
          <w:ilvl w:val="0"/>
          <w:numId w:val="41"/>
        </w:numPr>
        <w:pBdr>
          <w:top w:val="single" w:sz="4" w:space="1" w:color="auto"/>
          <w:left w:val="single" w:sz="4" w:space="4" w:color="auto"/>
          <w:bottom w:val="single" w:sz="4" w:space="17" w:color="auto"/>
          <w:right w:val="single" w:sz="4" w:space="4" w:color="auto"/>
        </w:pBdr>
        <w:spacing w:after="0" w:line="259" w:lineRule="auto"/>
        <w:rPr>
          <w:noProof/>
          <w:lang w:val="en-IE"/>
        </w:rPr>
      </w:pPr>
      <w:r>
        <w:rPr>
          <w:noProof/>
          <w:lang w:val="en-IE"/>
        </w:rPr>
        <w:t xml:space="preserve">No further progress has been made on stepping up efforts to improve the efficiency of justice, particularly to reduce the length of proceedings, which remains a concern.  Therefore, it is recommended to Malta to </w:t>
      </w:r>
      <w:r>
        <w:rPr>
          <w:i/>
          <w:noProof/>
          <w:lang w:val="en-IE"/>
        </w:rPr>
        <w:t>take forward initiatives to increase resources, reform court procedures, and advance digitalisation with a view to improve the efficiency of justice</w:t>
      </w:r>
      <w:r>
        <w:rPr>
          <w:noProof/>
          <w:lang w:val="en-IE"/>
        </w:rPr>
        <w:t xml:space="preserve">.  </w:t>
      </w:r>
    </w:p>
    <w:p w14:paraId="20FD3749" w14:textId="77777777" w:rsidR="00A75DE3" w:rsidRPr="00A75DE3" w:rsidRDefault="00A75DE3" w:rsidP="00A75DE3">
      <w:pPr>
        <w:numPr>
          <w:ilvl w:val="0"/>
          <w:numId w:val="41"/>
        </w:numPr>
        <w:pBdr>
          <w:top w:val="single" w:sz="4" w:space="1" w:color="auto"/>
          <w:left w:val="single" w:sz="4" w:space="4" w:color="auto"/>
          <w:bottom w:val="single" w:sz="4" w:space="17" w:color="auto"/>
          <w:right w:val="single" w:sz="4" w:space="4" w:color="auto"/>
        </w:pBdr>
        <w:spacing w:after="0" w:line="259" w:lineRule="auto"/>
        <w:rPr>
          <w:noProof/>
          <w:lang w:val="en-IE"/>
        </w:rPr>
      </w:pPr>
      <w:r>
        <w:rPr>
          <w:noProof/>
          <w:lang w:val="en-IE"/>
        </w:rPr>
        <w:t xml:space="preserve">Limited progress has been made to address challenges related to the length of investigations of high-level corruption cases, as the Police and the Attorney General continued to increase their resources and launched new investigations and prosecutions. No progress has been made on establishing a robust track record of final judgments given the high backlog of pending court cases, judges’ workload and the limited team of four magistrates handling preliminary inquiries. Therefore, it is recommended to Malta to step up efforts to </w:t>
      </w:r>
      <w:r>
        <w:rPr>
          <w:i/>
          <w:noProof/>
          <w:lang w:val="en-IE"/>
        </w:rPr>
        <w:t>address challenges related to the length of investigations of high-level corruption cases, and to establish a robust track record of final judgments</w:t>
      </w:r>
      <w:r>
        <w:rPr>
          <w:noProof/>
          <w:lang w:val="en-IE"/>
        </w:rPr>
        <w:t xml:space="preserve">. </w:t>
      </w:r>
    </w:p>
    <w:p w14:paraId="2D3EC1D7" w14:textId="77777777" w:rsidR="00A75DE3" w:rsidRPr="00A75DE3" w:rsidRDefault="00A75DE3" w:rsidP="00A75DE3">
      <w:pPr>
        <w:numPr>
          <w:ilvl w:val="0"/>
          <w:numId w:val="41"/>
        </w:numPr>
        <w:pBdr>
          <w:top w:val="single" w:sz="4" w:space="1" w:color="auto"/>
          <w:left w:val="single" w:sz="4" w:space="4" w:color="auto"/>
          <w:bottom w:val="single" w:sz="4" w:space="17" w:color="auto"/>
          <w:right w:val="single" w:sz="4" w:space="4" w:color="auto"/>
        </w:pBdr>
        <w:spacing w:after="0" w:line="259" w:lineRule="auto"/>
        <w:rPr>
          <w:noProof/>
          <w:lang w:val="en-IE"/>
        </w:rPr>
      </w:pPr>
      <w:r>
        <w:rPr>
          <w:noProof/>
          <w:lang w:val="en-IE"/>
        </w:rPr>
        <w:t xml:space="preserve">Limited progress has been made on adopting further legislative and other safeguards to improve the working environment of journalists, including on access to official documents, in light of a public consultation having been carried out and an e-management system having become operational. Since challenges persist, it is recommended to Malta to </w:t>
      </w:r>
      <w:r>
        <w:rPr>
          <w:i/>
          <w:noProof/>
          <w:lang w:val="en-IE"/>
        </w:rPr>
        <w:t>adopt legislative safeguards to improve the working environment of journalists and access to documents, taking into account European standards on the protection of journalists and on access to official documents</w:t>
      </w:r>
      <w:r>
        <w:rPr>
          <w:noProof/>
          <w:lang w:val="en-IE"/>
        </w:rPr>
        <w:t>.</w:t>
      </w:r>
    </w:p>
    <w:p w14:paraId="5B9F122C" w14:textId="77777777" w:rsidR="00A75DE3" w:rsidRPr="00A75DE3" w:rsidRDefault="00A75DE3" w:rsidP="00A75DE3">
      <w:pPr>
        <w:numPr>
          <w:ilvl w:val="0"/>
          <w:numId w:val="41"/>
        </w:numPr>
        <w:pBdr>
          <w:top w:val="single" w:sz="4" w:space="1" w:color="auto"/>
          <w:left w:val="single" w:sz="4" w:space="4" w:color="auto"/>
          <w:bottom w:val="single" w:sz="4" w:space="17" w:color="auto"/>
          <w:right w:val="single" w:sz="4" w:space="4" w:color="auto"/>
        </w:pBdr>
        <w:spacing w:after="0" w:line="259" w:lineRule="auto"/>
        <w:rPr>
          <w:b/>
          <w:bCs/>
          <w:noProof/>
          <w:lang w:val="en-IE"/>
        </w:rPr>
      </w:pPr>
      <w:r>
        <w:rPr>
          <w:noProof/>
          <w:lang w:val="en-IE"/>
        </w:rPr>
        <w:t xml:space="preserve">Limited progress has been made on introducing a formal framework for public participation in the legislative process, as the Government established a Department of Public Consultation. Since legislative reforms remain pending, it is recommended to Malta to </w:t>
      </w:r>
      <w:r>
        <w:rPr>
          <w:i/>
          <w:noProof/>
          <w:lang w:val="en-IE"/>
        </w:rPr>
        <w:t>introduce a formal framework for public participation in the legislative process</w:t>
      </w:r>
      <w:r>
        <w:rPr>
          <w:noProof/>
          <w:lang w:val="en-IE"/>
        </w:rPr>
        <w:t>.</w:t>
      </w:r>
    </w:p>
    <w:p w14:paraId="0088FD40" w14:textId="77777777" w:rsidR="00A75DE3" w:rsidRPr="00A75DE3" w:rsidRDefault="00A75DE3" w:rsidP="00A75DE3">
      <w:pPr>
        <w:numPr>
          <w:ilvl w:val="0"/>
          <w:numId w:val="41"/>
        </w:numPr>
        <w:pBdr>
          <w:top w:val="single" w:sz="4" w:space="1" w:color="auto"/>
          <w:left w:val="single" w:sz="4" w:space="4" w:color="auto"/>
          <w:bottom w:val="single" w:sz="4" w:space="17" w:color="auto"/>
          <w:right w:val="single" w:sz="4" w:space="4" w:color="auto"/>
        </w:pBdr>
        <w:spacing w:after="0" w:line="259" w:lineRule="auto"/>
        <w:rPr>
          <w:b/>
          <w:bCs/>
          <w:noProof/>
          <w:lang w:val="en-IE"/>
        </w:rPr>
      </w:pPr>
      <w:r>
        <w:rPr>
          <w:noProof/>
          <w:lang w:val="en-IE"/>
        </w:rPr>
        <w:t>No progress</w:t>
      </w:r>
      <w:r>
        <w:rPr>
          <w:b/>
          <w:bCs/>
          <w:noProof/>
          <w:lang w:val="en-IE"/>
        </w:rPr>
        <w:t xml:space="preserve"> </w:t>
      </w:r>
      <w:r>
        <w:rPr>
          <w:noProof/>
          <w:lang w:val="en-IE"/>
        </w:rPr>
        <w:t>has been made</w:t>
      </w:r>
      <w:r>
        <w:rPr>
          <w:b/>
          <w:bCs/>
          <w:noProof/>
          <w:lang w:val="en-IE"/>
        </w:rPr>
        <w:t xml:space="preserve"> </w:t>
      </w:r>
      <w:r>
        <w:rPr>
          <w:noProof/>
          <w:lang w:val="en-IE"/>
        </w:rPr>
        <w:t>on taking forward measures to establish a National Human Rights Institution taking into account the UN Paris Principles, as a bill remains under preparation. Therefore, it is recommended to Malta</w:t>
      </w:r>
      <w:r>
        <w:rPr>
          <w:b/>
          <w:noProof/>
          <w:lang w:val="en-IE"/>
        </w:rPr>
        <w:t xml:space="preserve"> </w:t>
      </w:r>
      <w:r>
        <w:rPr>
          <w:noProof/>
          <w:lang w:val="en-IE"/>
        </w:rPr>
        <w:t xml:space="preserve">to </w:t>
      </w:r>
      <w:r>
        <w:rPr>
          <w:i/>
          <w:noProof/>
          <w:lang w:val="en-IE"/>
        </w:rPr>
        <w:t>establish a National Human Rights Institution taking into account the UN Paris Principles</w:t>
      </w:r>
      <w:r>
        <w:rPr>
          <w:noProof/>
          <w:lang w:val="en-IE"/>
        </w:rPr>
        <w:t>.</w:t>
      </w:r>
    </w:p>
    <w:p w14:paraId="1ACD32BD" w14:textId="77777777" w:rsidR="00D61BAD" w:rsidRDefault="00D61BAD">
      <w:pPr>
        <w:spacing w:after="0"/>
        <w:jc w:val="left"/>
        <w:rPr>
          <w:bCs/>
          <w:noProof/>
          <w:lang w:val="en-IE"/>
        </w:rPr>
      </w:pPr>
      <w:r>
        <w:rPr>
          <w:bCs/>
          <w:noProof/>
          <w:lang w:val="en-IE"/>
        </w:rPr>
        <w:br w:type="page"/>
      </w:r>
    </w:p>
    <w:p w14:paraId="0788231C" w14:textId="7769396E" w:rsidR="00D61BAD" w:rsidRPr="00D61BAD" w:rsidRDefault="00D61BAD" w:rsidP="00D61BAD">
      <w:pPr>
        <w:pBdr>
          <w:top w:val="single" w:sz="4" w:space="1" w:color="auto"/>
          <w:left w:val="single" w:sz="4" w:space="4" w:color="auto"/>
          <w:bottom w:val="single" w:sz="4" w:space="17" w:color="auto"/>
          <w:right w:val="single" w:sz="4" w:space="4" w:color="auto"/>
        </w:pBdr>
        <w:spacing w:after="0" w:line="259" w:lineRule="auto"/>
        <w:rPr>
          <w:bCs/>
          <w:noProof/>
          <w:lang w:val="en-IE"/>
        </w:rPr>
      </w:pPr>
      <w:r>
        <w:rPr>
          <w:bCs/>
          <w:noProof/>
          <w:lang w:val="en-IE"/>
        </w:rPr>
        <w:t>As regards the other 2025 recommendations, the Commission concludes that:</w:t>
      </w:r>
    </w:p>
    <w:p w14:paraId="0CB799F4" w14:textId="77777777" w:rsidR="00D61BAD" w:rsidRPr="00D61BAD" w:rsidRDefault="00D61BAD" w:rsidP="00D61BAD">
      <w:pPr>
        <w:pBdr>
          <w:top w:val="single" w:sz="4" w:space="1" w:color="auto"/>
          <w:left w:val="single" w:sz="4" w:space="4" w:color="auto"/>
          <w:bottom w:val="single" w:sz="4" w:space="17" w:color="auto"/>
          <w:right w:val="single" w:sz="4" w:space="4" w:color="auto"/>
        </w:pBdr>
        <w:spacing w:after="0" w:line="259" w:lineRule="auto"/>
        <w:rPr>
          <w:noProof/>
          <w:lang w:val="en-IE"/>
        </w:rPr>
      </w:pPr>
    </w:p>
    <w:p w14:paraId="796A37F9" w14:textId="3C5CC9D9" w:rsidR="00A75DE3" w:rsidRPr="0005082E" w:rsidRDefault="00D61BAD" w:rsidP="00A75DE3">
      <w:pPr>
        <w:numPr>
          <w:ilvl w:val="0"/>
          <w:numId w:val="41"/>
        </w:numPr>
        <w:pBdr>
          <w:top w:val="single" w:sz="4" w:space="1" w:color="auto"/>
          <w:left w:val="single" w:sz="4" w:space="4" w:color="auto"/>
          <w:bottom w:val="single" w:sz="4" w:space="17" w:color="auto"/>
          <w:right w:val="single" w:sz="4" w:space="4" w:color="auto"/>
        </w:pBdr>
        <w:spacing w:after="0" w:line="259" w:lineRule="auto"/>
        <w:rPr>
          <w:b/>
          <w:bCs/>
          <w:noProof/>
          <w:lang w:val="en-IE"/>
        </w:rPr>
      </w:pPr>
      <w:r>
        <w:rPr>
          <w:noProof/>
          <w:lang w:val="en-IE"/>
        </w:rPr>
        <w:t>Some progress has been made on strengthening the rules and mechanisms to enhance the independent governance and editorial independence of public service media taking into account European standards on public service media, in light of the enactment of legislation addressing certain aspects of this issue. Given that the topics of this recommendation are covered by the provisions of the European Media Freedom Act (EMFA), while the Rule of Law Report will continue to monitor significant developments and report on their impact, further follow-up will be ensured as part of the Commission’s support to Member States and enforcement of the EMFA.</w:t>
      </w:r>
    </w:p>
    <w:p w14:paraId="44D52D6B" w14:textId="5F4BBDA7" w:rsidR="00F3342F" w:rsidRDefault="007D5AB4" w:rsidP="007D5AB4">
      <w:pPr>
        <w:spacing w:after="0"/>
        <w:jc w:val="left"/>
        <w:rPr>
          <w:noProof/>
          <w:lang w:eastAsia="en-GB"/>
        </w:rPr>
      </w:pPr>
      <w:r>
        <w:rPr>
          <w:noProof/>
          <w:lang w:eastAsia="en-GB"/>
        </w:rPr>
        <w:br w:type="page"/>
      </w:r>
    </w:p>
    <w:bookmarkEnd w:id="2"/>
    <w:p w14:paraId="7F4E623E" w14:textId="2A0EF901" w:rsidR="002F67B6" w:rsidRPr="00C76A32" w:rsidRDefault="002F67B6" w:rsidP="00C76A32">
      <w:pPr>
        <w:pStyle w:val="ListParagraph"/>
        <w:keepNext/>
        <w:numPr>
          <w:ilvl w:val="0"/>
          <w:numId w:val="40"/>
        </w:numPr>
        <w:outlineLvl w:val="0"/>
        <w:rPr>
          <w:b/>
          <w:smallCaps/>
          <w:noProof/>
          <w:szCs w:val="24"/>
          <w:u w:val="single"/>
          <w:lang w:eastAsia="fr-FR"/>
        </w:rPr>
      </w:pPr>
      <w:r w:rsidRPr="00C76A32">
        <w:rPr>
          <w:b/>
          <w:smallCaps/>
          <w:noProof/>
          <w:szCs w:val="24"/>
          <w:u w:val="single"/>
          <w:lang w:eastAsia="fr-FR"/>
        </w:rPr>
        <w:t>Justice System</w:t>
      </w:r>
      <w:r w:rsidRPr="002F67B6">
        <w:rPr>
          <w:bCs/>
          <w:noProof/>
          <w:vertAlign w:val="superscript"/>
        </w:rPr>
        <w:footnoteReference w:id="1"/>
      </w:r>
    </w:p>
    <w:p w14:paraId="7D1BF056" w14:textId="77777777" w:rsidR="002F67B6" w:rsidRPr="002F67B6" w:rsidRDefault="002F67B6" w:rsidP="002F67B6">
      <w:pPr>
        <w:keepNext/>
        <w:outlineLvl w:val="1"/>
        <w:rPr>
          <w:b/>
          <w:noProof/>
          <w:szCs w:val="24"/>
          <w:lang w:eastAsia="en-GB"/>
        </w:rPr>
      </w:pPr>
      <w:r w:rsidRPr="002F67B6">
        <w:rPr>
          <w:b/>
          <w:noProof/>
          <w:szCs w:val="24"/>
          <w:lang w:eastAsia="en-GB"/>
        </w:rPr>
        <w:t xml:space="preserve">Independence </w:t>
      </w:r>
    </w:p>
    <w:p w14:paraId="33E01159" w14:textId="48F49869" w:rsidR="002F67B6" w:rsidRPr="002F67B6" w:rsidRDefault="002F67B6" w:rsidP="002F67B6">
      <w:pPr>
        <w:rPr>
          <w:rFonts w:eastAsiaTheme="minorHAnsi" w:cstheme="minorBidi"/>
          <w:noProof/>
          <w:szCs w:val="22"/>
          <w:lang w:eastAsia="en-US"/>
        </w:rPr>
      </w:pPr>
      <w:r w:rsidRPr="002F67B6">
        <w:rPr>
          <w:rFonts w:eastAsiaTheme="minorHAnsi" w:cstheme="minorBidi"/>
          <w:b/>
          <w:bCs/>
          <w:noProof/>
          <w:szCs w:val="22"/>
          <w:lang w:eastAsia="en-US"/>
        </w:rPr>
        <w:t xml:space="preserve">The level of perceived judicial independence in Malta is now average among the general public and continues to be high among companies. </w:t>
      </w:r>
      <w:r w:rsidRPr="002F67B6">
        <w:rPr>
          <w:rFonts w:eastAsiaTheme="minorHAnsi" w:cstheme="minorBidi"/>
          <w:noProof/>
          <w:szCs w:val="22"/>
          <w:lang w:eastAsia="en-US"/>
        </w:rPr>
        <w:t>Overall, 47% of the general population and 65% of companies perceive the level of independence of courts and judges to be ‘fairly or very good’ in 2026</w:t>
      </w:r>
      <w:r w:rsidRPr="002F67B6">
        <w:rPr>
          <w:rFonts w:eastAsiaTheme="minorHAnsi" w:cstheme="minorBidi"/>
          <w:noProof/>
          <w:szCs w:val="22"/>
          <w:vertAlign w:val="superscript"/>
          <w:lang w:eastAsia="en-US"/>
        </w:rPr>
        <w:footnoteReference w:id="2"/>
      </w:r>
      <w:r w:rsidRPr="002F67B6">
        <w:rPr>
          <w:rFonts w:eastAsiaTheme="minorHAnsi" w:cstheme="minorBidi"/>
          <w:noProof/>
          <w:szCs w:val="22"/>
          <w:lang w:eastAsia="en-US"/>
        </w:rPr>
        <w:t xml:space="preserve">. The perceived judicial independence among the general public has </w:t>
      </w:r>
      <w:r w:rsidRPr="002F67B6">
        <w:rPr>
          <w:rFonts w:eastAsiaTheme="minorHAnsi"/>
          <w:noProof/>
          <w:szCs w:val="24"/>
          <w:lang w:val="en-US" w:eastAsia="en-US"/>
        </w:rPr>
        <w:t xml:space="preserve">significantly decreased </w:t>
      </w:r>
      <w:r w:rsidRPr="002F67B6">
        <w:rPr>
          <w:rFonts w:eastAsiaTheme="minorHAnsi" w:cstheme="minorBidi"/>
          <w:noProof/>
          <w:szCs w:val="22"/>
          <w:lang w:eastAsia="en-US"/>
        </w:rPr>
        <w:t xml:space="preserve">in comparison with 2025 (69%), </w:t>
      </w:r>
      <w:r w:rsidRPr="002F67B6">
        <w:rPr>
          <w:rFonts w:eastAsiaTheme="minorHAnsi"/>
          <w:noProof/>
          <w:szCs w:val="24"/>
          <w:lang w:val="en-US" w:eastAsia="en-US"/>
        </w:rPr>
        <w:t xml:space="preserve">as well as in comparison with 2022 (67%). </w:t>
      </w:r>
      <w:r w:rsidRPr="002F67B6">
        <w:rPr>
          <w:rFonts w:eastAsiaTheme="minorHAnsi" w:cstheme="minorBidi"/>
          <w:noProof/>
          <w:szCs w:val="22"/>
          <w:lang w:eastAsia="en-US"/>
        </w:rPr>
        <w:t xml:space="preserve">The perceived judicial independence among companies has </w:t>
      </w:r>
      <w:r w:rsidRPr="002F67B6">
        <w:rPr>
          <w:rFonts w:eastAsiaTheme="minorHAnsi"/>
          <w:noProof/>
          <w:szCs w:val="24"/>
          <w:lang w:val="en-US" w:eastAsia="en-US"/>
        </w:rPr>
        <w:t xml:space="preserve">slightly </w:t>
      </w:r>
      <w:r w:rsidRPr="002F67B6">
        <w:rPr>
          <w:rFonts w:eastAsiaTheme="minorHAnsi" w:cstheme="minorBidi"/>
          <w:noProof/>
          <w:szCs w:val="22"/>
          <w:lang w:eastAsia="en-US"/>
        </w:rPr>
        <w:t xml:space="preserve">increased in comparison with 2025 (63%) and it has </w:t>
      </w:r>
      <w:r w:rsidRPr="002F67B6">
        <w:rPr>
          <w:rFonts w:eastAsiaTheme="minorHAnsi"/>
          <w:noProof/>
          <w:szCs w:val="24"/>
          <w:lang w:val="en-US" w:eastAsia="en-US"/>
        </w:rPr>
        <w:t xml:space="preserve">slightly </w:t>
      </w:r>
      <w:r w:rsidRPr="002F67B6">
        <w:rPr>
          <w:rFonts w:eastAsiaTheme="minorHAnsi" w:cstheme="minorBidi"/>
          <w:noProof/>
          <w:szCs w:val="22"/>
          <w:lang w:eastAsia="en-US"/>
        </w:rPr>
        <w:t>decreased in comparison with 2022 (68%).</w:t>
      </w:r>
    </w:p>
    <w:p w14:paraId="360651C8" w14:textId="5B862EF7" w:rsidR="002F67B6" w:rsidRPr="002F67B6" w:rsidRDefault="002F67B6" w:rsidP="002F67B6">
      <w:pPr>
        <w:rPr>
          <w:rFonts w:eastAsiaTheme="minorHAnsi" w:cstheme="minorBidi"/>
          <w:noProof/>
          <w:szCs w:val="22"/>
          <w:lang w:eastAsia="en-US"/>
        </w:rPr>
      </w:pPr>
      <w:bookmarkStart w:id="3" w:name="_Hlk225702666"/>
      <w:bookmarkStart w:id="4" w:name="_Hlk225842507"/>
      <w:r w:rsidRPr="002F67B6">
        <w:rPr>
          <w:rFonts w:eastAsiaTheme="minorHAnsi" w:cstheme="minorBidi"/>
          <w:b/>
          <w:bCs/>
          <w:noProof/>
          <w:szCs w:val="22"/>
          <w:lang w:eastAsia="en-US"/>
        </w:rPr>
        <w:t>While political debate continued on the appointment of the Chief Justice</w:t>
      </w:r>
      <w:bookmarkEnd w:id="3"/>
      <w:r w:rsidRPr="002F67B6">
        <w:rPr>
          <w:rFonts w:eastAsiaTheme="minorHAnsi" w:cstheme="minorBidi"/>
          <w:b/>
          <w:bCs/>
          <w:noProof/>
          <w:szCs w:val="22"/>
          <w:lang w:eastAsia="en-US"/>
        </w:rPr>
        <w:t xml:space="preserve">, there was no further progress yet on the recommendation </w:t>
      </w:r>
      <w:r w:rsidRPr="002F67B6">
        <w:rPr>
          <w:rFonts w:eastAsiaTheme="minorHAnsi" w:cstheme="minorBidi"/>
          <w:b/>
          <w:bCs/>
          <w:noProof/>
          <w:szCs w:val="22"/>
          <w:lang w:val="en-US" w:eastAsia="en-US"/>
        </w:rPr>
        <w:t>to involve the judiciary in the process</w:t>
      </w:r>
      <w:r w:rsidRPr="002F67B6">
        <w:rPr>
          <w:rFonts w:eastAsiaTheme="minorHAnsi" w:cstheme="minorBidi"/>
          <w:b/>
          <w:bCs/>
          <w:noProof/>
          <w:szCs w:val="22"/>
          <w:vertAlign w:val="superscript"/>
          <w:lang w:eastAsia="fr-FR"/>
        </w:rPr>
        <w:footnoteReference w:id="3"/>
      </w:r>
      <w:r w:rsidR="009753E3" w:rsidRPr="009753E3">
        <w:rPr>
          <w:rFonts w:eastAsiaTheme="minorHAnsi" w:cstheme="minorBidi"/>
          <w:b/>
          <w:bCs/>
          <w:noProof/>
          <w:szCs w:val="22"/>
          <w:lang w:val="en-US" w:eastAsia="en-US"/>
        </w:rPr>
        <w:t xml:space="preserve"> </w:t>
      </w:r>
      <w:r w:rsidR="009753E3">
        <w:rPr>
          <w:rFonts w:eastAsiaTheme="minorHAnsi" w:cstheme="minorBidi"/>
          <w:b/>
          <w:bCs/>
          <w:noProof/>
          <w:szCs w:val="22"/>
          <w:lang w:val="en-US" w:eastAsia="en-US"/>
        </w:rPr>
        <w:t>due to a lack of political consensus</w:t>
      </w:r>
      <w:r w:rsidRPr="002F67B6">
        <w:rPr>
          <w:rFonts w:eastAsiaTheme="minorHAnsi" w:cstheme="minorBidi"/>
          <w:noProof/>
          <w:szCs w:val="22"/>
          <w:lang w:eastAsia="fr-FR"/>
        </w:rPr>
        <w:t>.</w:t>
      </w:r>
      <w:bookmarkEnd w:id="4"/>
      <w:r w:rsidRPr="002F67B6">
        <w:rPr>
          <w:rFonts w:eastAsiaTheme="minorHAnsi" w:cstheme="minorBidi"/>
          <w:noProof/>
          <w:szCs w:val="22"/>
          <w:lang w:eastAsia="fr-FR"/>
        </w:rPr>
        <w:t xml:space="preserve"> In June 2025, Parliament discussed a </w:t>
      </w:r>
      <w:r w:rsidRPr="002F67B6">
        <w:rPr>
          <w:rFonts w:eastAsiaTheme="minorHAnsi" w:cstheme="minorBidi"/>
          <w:noProof/>
          <w:szCs w:val="22"/>
          <w:lang w:eastAsia="en-US"/>
        </w:rPr>
        <w:t>constitutional reform providing, among others, for the Prime Minister to consult the outgoing Chief Justice and the President on the appointment of a Chief Justice, and to inform the opposition leader</w:t>
      </w:r>
      <w:r w:rsidRPr="002F67B6">
        <w:rPr>
          <w:rFonts w:eastAsiaTheme="minorHAnsi" w:cstheme="minorBidi"/>
          <w:noProof/>
          <w:szCs w:val="22"/>
          <w:vertAlign w:val="superscript"/>
          <w:lang w:eastAsia="en-US"/>
        </w:rPr>
        <w:footnoteReference w:id="4"/>
      </w:r>
      <w:r w:rsidRPr="002F67B6">
        <w:rPr>
          <w:rFonts w:eastAsiaTheme="minorHAnsi" w:cstheme="minorBidi"/>
          <w:noProof/>
          <w:szCs w:val="22"/>
          <w:lang w:eastAsia="en-US"/>
        </w:rPr>
        <w:t xml:space="preserve">. As the proposed nomination by the Prime Minister did not gather the required two-thirds majority in Parliament in March 2026, </w:t>
      </w:r>
      <w:bookmarkStart w:id="5" w:name="_Hlk225702748"/>
      <w:r w:rsidRPr="002F67B6">
        <w:rPr>
          <w:rFonts w:eastAsiaTheme="minorHAnsi" w:cstheme="minorBidi"/>
          <w:noProof/>
          <w:szCs w:val="22"/>
          <w:lang w:eastAsia="en-US"/>
        </w:rPr>
        <w:t>the outgoing Chief Justice has remained in office past the statutory retirement date</w:t>
      </w:r>
      <w:bookmarkEnd w:id="5"/>
      <w:r w:rsidRPr="002F67B6">
        <w:rPr>
          <w:rFonts w:eastAsiaTheme="minorHAnsi" w:cstheme="minorBidi"/>
          <w:noProof/>
          <w:szCs w:val="22"/>
          <w:lang w:eastAsia="en-US"/>
        </w:rPr>
        <w:t>. Stakeholders raised concerns about the appointment process of the Chief Justice and its impact on the perception of independence</w:t>
      </w:r>
      <w:r w:rsidRPr="002F67B6">
        <w:rPr>
          <w:rFonts w:eastAsiaTheme="minorHAnsi" w:cstheme="minorBidi"/>
          <w:noProof/>
          <w:szCs w:val="22"/>
          <w:vertAlign w:val="superscript"/>
          <w:lang w:eastAsia="en-US"/>
        </w:rPr>
        <w:footnoteReference w:id="5"/>
      </w:r>
      <w:r w:rsidRPr="002F67B6">
        <w:rPr>
          <w:rFonts w:eastAsiaTheme="minorHAnsi" w:cstheme="minorBidi"/>
          <w:noProof/>
          <w:szCs w:val="22"/>
          <w:lang w:eastAsia="en-US"/>
        </w:rPr>
        <w:t>. In a survey conducted between April and May 2026, the level of perceived independence among the general public significantly decreased.</w:t>
      </w:r>
      <w:r w:rsidRPr="002F67B6">
        <w:rPr>
          <w:rFonts w:eastAsiaTheme="minorHAnsi" w:cstheme="minorBidi"/>
          <w:noProof/>
          <w:szCs w:val="22"/>
          <w:vertAlign w:val="superscript"/>
          <w:lang w:eastAsia="en-US"/>
        </w:rPr>
        <w:footnoteReference w:id="6"/>
      </w:r>
      <w:r w:rsidRPr="002F67B6">
        <w:rPr>
          <w:rFonts w:eastAsiaTheme="minorHAnsi" w:cstheme="minorBidi"/>
          <w:noProof/>
          <w:szCs w:val="22"/>
          <w:lang w:eastAsia="en-US"/>
        </w:rPr>
        <w:t xml:space="preserve"> The Government has announced a constitutional reform to introduce a mechanism to prevent deadlock in the appointment process of the Chief Justice</w:t>
      </w:r>
      <w:r w:rsidRPr="002F67B6">
        <w:rPr>
          <w:rFonts w:eastAsiaTheme="minorHAnsi" w:cstheme="minorBidi"/>
          <w:noProof/>
          <w:szCs w:val="22"/>
          <w:vertAlign w:val="superscript"/>
          <w:lang w:eastAsia="en-US"/>
        </w:rPr>
        <w:footnoteReference w:id="7"/>
      </w:r>
      <w:r w:rsidRPr="002F67B6">
        <w:rPr>
          <w:rFonts w:eastAsiaTheme="minorHAnsi" w:cstheme="minorBidi"/>
          <w:noProof/>
          <w:szCs w:val="22"/>
          <w:lang w:eastAsia="en-US"/>
        </w:rPr>
        <w:t>. As reforms to involve the judiciary in the appointment of the Chief Justice are still pending there has been no further progress on the recommendation made in the 2025 Rule of Law Report.</w:t>
      </w:r>
    </w:p>
    <w:p w14:paraId="2B7C4651" w14:textId="55253FB3" w:rsidR="002F67B6" w:rsidRPr="002F67B6" w:rsidRDefault="002F67B6" w:rsidP="002F67B6">
      <w:pPr>
        <w:rPr>
          <w:rFonts w:eastAsiaTheme="minorHAnsi" w:cstheme="minorBidi"/>
          <w:noProof/>
          <w:szCs w:val="22"/>
          <w:lang w:eastAsia="en-US"/>
        </w:rPr>
      </w:pPr>
      <w:bookmarkStart w:id="6" w:name="_Hlk225702956"/>
      <w:bookmarkStart w:id="7" w:name="_Hlk225702889"/>
      <w:bookmarkStart w:id="8" w:name="_Hlk225703008"/>
      <w:bookmarkStart w:id="9" w:name="_Hlk225702980"/>
      <w:r w:rsidRPr="002F67B6">
        <w:rPr>
          <w:rFonts w:eastAsiaTheme="minorHAnsi" w:cstheme="minorBidi"/>
          <w:b/>
          <w:bCs/>
          <w:noProof/>
          <w:szCs w:val="22"/>
          <w:lang w:eastAsia="en-US"/>
        </w:rPr>
        <w:t xml:space="preserve">A new Commissioner for Standards of the Judiciary </w:t>
      </w:r>
      <w:bookmarkEnd w:id="6"/>
      <w:r w:rsidRPr="002F67B6">
        <w:rPr>
          <w:rFonts w:eastAsiaTheme="minorHAnsi" w:cstheme="minorBidi"/>
          <w:b/>
          <w:bCs/>
          <w:noProof/>
          <w:szCs w:val="22"/>
          <w:lang w:eastAsia="en-US"/>
        </w:rPr>
        <w:t xml:space="preserve">has taken office. </w:t>
      </w:r>
      <w:r w:rsidRPr="002F67B6">
        <w:rPr>
          <w:rFonts w:eastAsiaTheme="minorHAnsi" w:cstheme="minorBidi"/>
          <w:noProof/>
          <w:szCs w:val="22"/>
          <w:lang w:eastAsia="en-US"/>
        </w:rPr>
        <w:t>In June 2025, the Parliament established this post with the power to investigate complaints about members of the judiciary and report to the Chief Justice and the Minister of Justice who may, on that basis, initiate disciplinary action</w:t>
      </w:r>
      <w:r w:rsidRPr="002F67B6">
        <w:rPr>
          <w:rFonts w:eastAsiaTheme="minorHAnsi" w:cstheme="minorBidi"/>
          <w:noProof/>
          <w:szCs w:val="22"/>
          <w:vertAlign w:val="superscript"/>
          <w:lang w:eastAsia="en-US"/>
        </w:rPr>
        <w:footnoteReference w:id="8"/>
      </w:r>
      <w:r w:rsidRPr="002F67B6">
        <w:rPr>
          <w:rFonts w:eastAsiaTheme="minorHAnsi" w:cstheme="minorBidi"/>
          <w:noProof/>
          <w:szCs w:val="22"/>
          <w:lang w:eastAsia="en-US"/>
        </w:rPr>
        <w:t>. The Commissioner was appointed in December 2025 for a renewable three-year term by the Commission for the Administration of Justice</w:t>
      </w:r>
      <w:r w:rsidRPr="002F67B6">
        <w:rPr>
          <w:rFonts w:eastAsiaTheme="minorHAnsi" w:cstheme="minorBidi"/>
          <w:noProof/>
          <w:szCs w:val="22"/>
          <w:vertAlign w:val="superscript"/>
          <w:lang w:eastAsia="en-US"/>
        </w:rPr>
        <w:footnoteReference w:id="9"/>
      </w:r>
      <w:r w:rsidRPr="002F67B6">
        <w:rPr>
          <w:rFonts w:eastAsiaTheme="minorHAnsi" w:cstheme="minorBidi"/>
          <w:noProof/>
          <w:szCs w:val="22"/>
          <w:lang w:eastAsia="en-US"/>
        </w:rPr>
        <w:t>. While broadly welcoming a structured avenue for such complaints</w:t>
      </w:r>
      <w:r w:rsidRPr="002F67B6">
        <w:rPr>
          <w:rFonts w:eastAsiaTheme="minorHAnsi" w:cstheme="minorBidi"/>
          <w:noProof/>
          <w:szCs w:val="22"/>
          <w:vertAlign w:val="superscript"/>
          <w:lang w:eastAsia="en-US"/>
        </w:rPr>
        <w:footnoteReference w:id="10"/>
      </w:r>
      <w:r w:rsidRPr="002F67B6">
        <w:rPr>
          <w:rFonts w:eastAsiaTheme="minorHAnsi" w:cstheme="minorBidi"/>
          <w:noProof/>
          <w:szCs w:val="22"/>
          <w:lang w:eastAsia="en-US"/>
        </w:rPr>
        <w:t>, stakeholders called to ensure clear procedures and guarantees for the independence and impartiality of investigations</w:t>
      </w:r>
      <w:r w:rsidRPr="002F67B6">
        <w:rPr>
          <w:rFonts w:eastAsiaTheme="minorHAnsi" w:cstheme="minorBidi"/>
          <w:noProof/>
          <w:szCs w:val="22"/>
          <w:vertAlign w:val="superscript"/>
          <w:lang w:eastAsia="en-US"/>
        </w:rPr>
        <w:footnoteReference w:id="11"/>
      </w:r>
      <w:r w:rsidRPr="002F67B6">
        <w:rPr>
          <w:rFonts w:eastAsiaTheme="minorHAnsi" w:cstheme="minorBidi"/>
          <w:noProof/>
          <w:szCs w:val="22"/>
          <w:lang w:eastAsia="en-US"/>
        </w:rPr>
        <w:t>.</w:t>
      </w:r>
      <w:r w:rsidRPr="002F67B6">
        <w:rPr>
          <w:rFonts w:eastAsiaTheme="minorHAnsi" w:cstheme="minorBidi"/>
          <w:noProof/>
          <w:color w:val="FF0000"/>
          <w:szCs w:val="22"/>
          <w:lang w:eastAsia="en-US"/>
        </w:rPr>
        <w:t xml:space="preserve"> </w:t>
      </w:r>
      <w:r w:rsidRPr="002F67B6">
        <w:rPr>
          <w:rFonts w:eastAsiaTheme="minorHAnsi" w:cstheme="minorBidi"/>
          <w:noProof/>
          <w:szCs w:val="22"/>
          <w:lang w:eastAsia="en-US"/>
        </w:rPr>
        <w:t xml:space="preserve">The Commission for the Administration of Justice (Malta’s judicial council) and its </w:t>
      </w:r>
      <w:bookmarkEnd w:id="7"/>
      <w:r w:rsidRPr="002F67B6">
        <w:rPr>
          <w:rFonts w:eastAsiaTheme="minorHAnsi" w:cstheme="minorBidi"/>
          <w:noProof/>
          <w:szCs w:val="22"/>
          <w:lang w:eastAsia="en-US"/>
        </w:rPr>
        <w:t>Committee for Judges and Magistrates continued to exercise its responsibility for disciplinary procedures against judges and magistrates</w:t>
      </w:r>
      <w:r w:rsidRPr="002F67B6">
        <w:rPr>
          <w:rFonts w:eastAsiaTheme="minorHAnsi" w:cstheme="minorBidi"/>
          <w:noProof/>
          <w:szCs w:val="22"/>
          <w:vertAlign w:val="superscript"/>
          <w:lang w:eastAsia="en-US"/>
        </w:rPr>
        <w:footnoteReference w:id="12"/>
      </w:r>
      <w:r w:rsidRPr="002F67B6">
        <w:rPr>
          <w:rFonts w:eastAsiaTheme="minorHAnsi" w:cstheme="minorBidi"/>
          <w:noProof/>
          <w:szCs w:val="22"/>
          <w:lang w:eastAsia="en-US"/>
        </w:rPr>
        <w:t>. Disciplinary procedures are confidential, and stakeholders called for more transparency about the composition and activities of the Commission</w:t>
      </w:r>
      <w:r w:rsidRPr="002F67B6">
        <w:rPr>
          <w:rFonts w:eastAsiaTheme="minorHAnsi" w:cstheme="minorBidi"/>
          <w:noProof/>
          <w:szCs w:val="22"/>
          <w:vertAlign w:val="superscript"/>
          <w:lang w:eastAsia="en-US"/>
        </w:rPr>
        <w:footnoteReference w:id="13"/>
      </w:r>
      <w:r w:rsidRPr="002F67B6">
        <w:rPr>
          <w:rFonts w:eastAsiaTheme="minorHAnsi" w:cstheme="minorBidi"/>
          <w:noProof/>
          <w:szCs w:val="22"/>
          <w:lang w:eastAsia="en-US"/>
        </w:rPr>
        <w:t>. Following retirements and promotions, the Commission ha</w:t>
      </w:r>
      <w:r w:rsidR="00F939BC">
        <w:rPr>
          <w:rFonts w:eastAsiaTheme="minorHAnsi" w:cstheme="minorBidi"/>
          <w:noProof/>
          <w:szCs w:val="22"/>
          <w:lang w:eastAsia="en-US"/>
        </w:rPr>
        <w:t>d</w:t>
      </w:r>
      <w:r w:rsidRPr="002F67B6">
        <w:rPr>
          <w:rFonts w:eastAsiaTheme="minorHAnsi" w:cstheme="minorBidi"/>
          <w:noProof/>
          <w:szCs w:val="22"/>
          <w:lang w:eastAsia="en-US"/>
        </w:rPr>
        <w:t xml:space="preserve"> become inoperative in early 2026</w:t>
      </w:r>
      <w:r w:rsidR="00F939BC">
        <w:rPr>
          <w:rFonts w:eastAsiaTheme="minorHAnsi" w:cstheme="minorBidi"/>
          <w:noProof/>
          <w:szCs w:val="22"/>
          <w:lang w:eastAsia="en-US"/>
        </w:rPr>
        <w:t>;</w:t>
      </w:r>
      <w:r w:rsidRPr="002F67B6">
        <w:rPr>
          <w:rFonts w:eastAsiaTheme="minorHAnsi" w:cstheme="minorBidi"/>
          <w:noProof/>
          <w:szCs w:val="22"/>
          <w:lang w:eastAsia="en-US"/>
        </w:rPr>
        <w:t xml:space="preserve"> </w:t>
      </w:r>
      <w:r w:rsidRPr="00C30465">
        <w:rPr>
          <w:rFonts w:eastAsiaTheme="minorHAnsi" w:cstheme="minorBidi"/>
          <w:noProof/>
          <w:szCs w:val="22"/>
          <w:lang w:eastAsia="en-US"/>
        </w:rPr>
        <w:t xml:space="preserve">elections of new members </w:t>
      </w:r>
      <w:r w:rsidR="00762B31" w:rsidRPr="00C30465">
        <w:rPr>
          <w:rFonts w:eastAsiaTheme="minorHAnsi" w:cstheme="minorBidi"/>
          <w:noProof/>
          <w:szCs w:val="22"/>
          <w:lang w:eastAsia="en-US"/>
        </w:rPr>
        <w:t xml:space="preserve">have </w:t>
      </w:r>
      <w:r w:rsidRPr="00C30465">
        <w:rPr>
          <w:rFonts w:eastAsiaTheme="minorHAnsi" w:cstheme="minorBidi"/>
          <w:noProof/>
          <w:szCs w:val="22"/>
          <w:lang w:eastAsia="en-US"/>
        </w:rPr>
        <w:t>take</w:t>
      </w:r>
      <w:r w:rsidR="00762B31" w:rsidRPr="00C30465">
        <w:rPr>
          <w:rFonts w:eastAsiaTheme="minorHAnsi" w:cstheme="minorBidi"/>
          <w:noProof/>
          <w:szCs w:val="22"/>
          <w:lang w:eastAsia="en-US"/>
        </w:rPr>
        <w:t>n</w:t>
      </w:r>
      <w:r w:rsidRPr="00C30465">
        <w:rPr>
          <w:rFonts w:eastAsiaTheme="minorHAnsi" w:cstheme="minorBidi"/>
          <w:noProof/>
          <w:szCs w:val="22"/>
          <w:lang w:eastAsia="en-US"/>
        </w:rPr>
        <w:t xml:space="preserve"> place</w:t>
      </w:r>
      <w:r w:rsidR="00F939BC">
        <w:rPr>
          <w:rFonts w:eastAsiaTheme="minorHAnsi" w:cstheme="minorBidi"/>
          <w:noProof/>
          <w:szCs w:val="22"/>
          <w:lang w:eastAsia="en-US"/>
        </w:rPr>
        <w:t xml:space="preserve"> in April</w:t>
      </w:r>
      <w:r w:rsidRPr="00C30465">
        <w:rPr>
          <w:rFonts w:eastAsiaTheme="minorHAnsi" w:cstheme="minorBidi"/>
          <w:noProof/>
          <w:szCs w:val="22"/>
          <w:vertAlign w:val="superscript"/>
          <w:lang w:eastAsia="en-US"/>
        </w:rPr>
        <w:footnoteReference w:id="14"/>
      </w:r>
      <w:r w:rsidRPr="00C30465">
        <w:rPr>
          <w:rFonts w:eastAsiaTheme="minorHAnsi" w:cstheme="minorBidi"/>
          <w:noProof/>
          <w:szCs w:val="22"/>
          <w:lang w:eastAsia="en-US"/>
        </w:rPr>
        <w:t>.</w:t>
      </w:r>
    </w:p>
    <w:p w14:paraId="59A2510A" w14:textId="76CDF2C0" w:rsidR="002F67B6" w:rsidRPr="002F67B6" w:rsidRDefault="00B261EC" w:rsidP="002F67B6">
      <w:pPr>
        <w:rPr>
          <w:rFonts w:eastAsiaTheme="minorHAnsi" w:cstheme="minorBidi"/>
          <w:noProof/>
          <w:szCs w:val="22"/>
          <w:lang w:eastAsia="fr-FR"/>
        </w:rPr>
      </w:pPr>
      <w:r w:rsidRPr="00E86849">
        <w:rPr>
          <w:rFonts w:eastAsiaTheme="minorHAnsi" w:cstheme="minorBidi"/>
          <w:b/>
          <w:bCs/>
          <w:noProof/>
          <w:szCs w:val="22"/>
          <w:lang w:eastAsia="fr-FR"/>
        </w:rPr>
        <w:t>Stakeholders raised c</w:t>
      </w:r>
      <w:r w:rsidR="002F67B6" w:rsidRPr="00E86849">
        <w:rPr>
          <w:rFonts w:eastAsiaTheme="minorHAnsi" w:cstheme="minorBidi"/>
          <w:b/>
          <w:bCs/>
          <w:noProof/>
          <w:szCs w:val="22"/>
          <w:lang w:eastAsia="fr-FR"/>
        </w:rPr>
        <w:t xml:space="preserve">oncerns regarding </w:t>
      </w:r>
      <w:r w:rsidR="000352D6" w:rsidRPr="00E86849">
        <w:rPr>
          <w:rFonts w:eastAsiaTheme="minorHAnsi" w:cstheme="minorBidi"/>
          <w:b/>
          <w:bCs/>
          <w:noProof/>
          <w:szCs w:val="22"/>
          <w:lang w:eastAsia="fr-FR"/>
        </w:rPr>
        <w:t>certain</w:t>
      </w:r>
      <w:r w:rsidR="000352D6">
        <w:rPr>
          <w:rFonts w:eastAsiaTheme="minorHAnsi" w:cstheme="minorBidi"/>
          <w:b/>
          <w:bCs/>
          <w:noProof/>
          <w:szCs w:val="22"/>
          <w:lang w:eastAsia="fr-FR"/>
        </w:rPr>
        <w:t xml:space="preserve"> </w:t>
      </w:r>
      <w:r w:rsidR="002F67B6" w:rsidRPr="00E7192F">
        <w:rPr>
          <w:rFonts w:eastAsiaTheme="minorHAnsi" w:cstheme="minorBidi"/>
          <w:b/>
          <w:bCs/>
          <w:noProof/>
          <w:szCs w:val="22"/>
          <w:lang w:eastAsia="fr-FR"/>
        </w:rPr>
        <w:t xml:space="preserve">critical statements by politicians about judges. </w:t>
      </w:r>
      <w:r w:rsidR="002F67B6" w:rsidRPr="00E7192F">
        <w:rPr>
          <w:rFonts w:eastAsiaTheme="minorHAnsi" w:cstheme="minorBidi"/>
          <w:noProof/>
          <w:szCs w:val="22"/>
          <w:lang w:eastAsia="fr-FR"/>
        </w:rPr>
        <w:t xml:space="preserve">Stakeholders considered that certain critical remarks towards individual </w:t>
      </w:r>
      <w:r w:rsidR="000C300A" w:rsidRPr="00E7192F">
        <w:rPr>
          <w:rFonts w:eastAsiaTheme="minorHAnsi" w:cstheme="minorBidi"/>
          <w:noProof/>
          <w:szCs w:val="22"/>
          <w:lang w:eastAsia="fr-FR"/>
        </w:rPr>
        <w:t xml:space="preserve">members of the judiciary </w:t>
      </w:r>
      <w:r w:rsidR="002F67B6" w:rsidRPr="00E7192F">
        <w:rPr>
          <w:rFonts w:eastAsiaTheme="minorHAnsi" w:cstheme="minorBidi"/>
          <w:noProof/>
          <w:szCs w:val="22"/>
          <w:lang w:eastAsia="fr-FR"/>
        </w:rPr>
        <w:t xml:space="preserve">by top Government officials risked </w:t>
      </w:r>
      <w:bookmarkEnd w:id="8"/>
      <w:r w:rsidR="002F67B6" w:rsidRPr="00E7192F">
        <w:rPr>
          <w:rFonts w:eastAsiaTheme="minorHAnsi" w:cstheme="minorBidi"/>
          <w:noProof/>
          <w:szCs w:val="22"/>
          <w:lang w:eastAsia="fr-FR"/>
        </w:rPr>
        <w:t>undermining public confidence in the integrity of decisions</w:t>
      </w:r>
      <w:r w:rsidR="002F67B6" w:rsidRPr="002F67B6">
        <w:rPr>
          <w:rFonts w:eastAsiaTheme="minorHAnsi" w:cstheme="minorBidi"/>
          <w:noProof/>
          <w:szCs w:val="22"/>
          <w:lang w:eastAsia="fr-FR"/>
        </w:rPr>
        <w:t xml:space="preserve"> on judicial appointments</w:t>
      </w:r>
      <w:r w:rsidR="002F67B6" w:rsidRPr="002F67B6">
        <w:rPr>
          <w:rFonts w:eastAsiaTheme="minorHAnsi" w:cstheme="minorBidi"/>
          <w:noProof/>
          <w:szCs w:val="22"/>
          <w:vertAlign w:val="superscript"/>
          <w:lang w:eastAsia="en-US"/>
        </w:rPr>
        <w:footnoteReference w:id="15"/>
      </w:r>
      <w:r w:rsidR="002F67B6" w:rsidRPr="002F67B6">
        <w:rPr>
          <w:rFonts w:eastAsiaTheme="minorHAnsi" w:cstheme="minorBidi"/>
          <w:noProof/>
          <w:szCs w:val="22"/>
          <w:lang w:eastAsia="fr-FR"/>
        </w:rPr>
        <w:t>. According to European standards,</w:t>
      </w:r>
      <w:r w:rsidR="002F67B6" w:rsidRPr="002F67B6">
        <w:rPr>
          <w:rFonts w:eastAsiaTheme="minorHAnsi" w:cstheme="minorBidi"/>
          <w:noProof/>
          <w:szCs w:val="22"/>
          <w:lang w:val="en-US" w:eastAsia="en-US"/>
        </w:rPr>
        <w:t xml:space="preserve"> w</w:t>
      </w:r>
      <w:r w:rsidR="002F67B6" w:rsidRPr="002F67B6">
        <w:rPr>
          <w:rFonts w:eastAsiaTheme="minorHAnsi" w:cstheme="minorBidi"/>
          <w:noProof/>
          <w:szCs w:val="22"/>
          <w:lang w:eastAsia="fr-FR"/>
        </w:rPr>
        <w:t>hile criticising judicial decisions is a normal aspect of democratic discourse, the executive and legislative powers should avoid criticism that undermines the independence of or public confidence in the judiciary</w:t>
      </w:r>
      <w:r w:rsidR="002F67B6" w:rsidRPr="002F67B6">
        <w:rPr>
          <w:rFonts w:eastAsiaTheme="minorHAnsi" w:cstheme="minorBidi"/>
          <w:noProof/>
          <w:szCs w:val="22"/>
          <w:vertAlign w:val="superscript"/>
          <w:lang w:eastAsia="en-US"/>
        </w:rPr>
        <w:footnoteReference w:id="16"/>
      </w:r>
      <w:r w:rsidR="002F67B6" w:rsidRPr="002F67B6">
        <w:rPr>
          <w:rFonts w:eastAsiaTheme="minorHAnsi" w:cstheme="minorBidi"/>
          <w:noProof/>
          <w:szCs w:val="22"/>
          <w:lang w:eastAsia="fr-FR"/>
        </w:rPr>
        <w:t>. The OSCE’s Office for Democratic Institutions and Human Rights (ODIHR) also documented recurring critical remarks by political figures against lawyers</w:t>
      </w:r>
      <w:r w:rsidR="002F67B6" w:rsidRPr="002F67B6">
        <w:rPr>
          <w:rFonts w:eastAsiaTheme="minorHAnsi" w:cstheme="minorBidi"/>
          <w:noProof/>
          <w:szCs w:val="22"/>
          <w:vertAlign w:val="superscript"/>
          <w:lang w:eastAsia="en-US"/>
        </w:rPr>
        <w:footnoteReference w:id="17"/>
      </w:r>
      <w:r w:rsidR="002F67B6" w:rsidRPr="002F67B6">
        <w:rPr>
          <w:rFonts w:eastAsiaTheme="minorHAnsi" w:cstheme="minorBidi"/>
          <w:noProof/>
          <w:szCs w:val="22"/>
          <w:lang w:eastAsia="fr-FR"/>
        </w:rPr>
        <w:t>.</w:t>
      </w:r>
    </w:p>
    <w:p w14:paraId="430BCEA4" w14:textId="795334F7" w:rsidR="002F67B6" w:rsidRPr="002F67B6" w:rsidRDefault="002F67B6" w:rsidP="002F67B6">
      <w:pPr>
        <w:rPr>
          <w:rFonts w:eastAsia="Calibri" w:cstheme="minorBidi"/>
          <w:noProof/>
          <w:color w:val="000000" w:themeColor="text1"/>
          <w:szCs w:val="22"/>
          <w:lang w:eastAsia="en-US"/>
        </w:rPr>
      </w:pPr>
      <w:r w:rsidRPr="002F67B6">
        <w:rPr>
          <w:rFonts w:eastAsiaTheme="minorHAnsi" w:cstheme="minorBidi"/>
          <w:b/>
          <w:bCs/>
          <w:noProof/>
          <w:szCs w:val="22"/>
          <w:lang w:val="en-US" w:eastAsia="en-US"/>
        </w:rPr>
        <w:t xml:space="preserve">Reforms to strengthen the independence of specialised tribunals </w:t>
      </w:r>
      <w:bookmarkEnd w:id="9"/>
      <w:r w:rsidR="000A7117">
        <w:rPr>
          <w:rFonts w:eastAsiaTheme="minorHAnsi" w:cstheme="minorBidi"/>
          <w:b/>
          <w:bCs/>
          <w:noProof/>
          <w:szCs w:val="22"/>
          <w:lang w:val="en-US" w:eastAsia="en-US"/>
        </w:rPr>
        <w:t>are advancing</w:t>
      </w:r>
      <w:r w:rsidRPr="002F67B6">
        <w:rPr>
          <w:rFonts w:eastAsiaTheme="minorHAnsi" w:cstheme="minorBidi"/>
          <w:b/>
          <w:bCs/>
          <w:noProof/>
          <w:szCs w:val="22"/>
          <w:lang w:eastAsia="en-US"/>
        </w:rPr>
        <w:t xml:space="preserve">. </w:t>
      </w:r>
      <w:r w:rsidRPr="002F67B6">
        <w:rPr>
          <w:rFonts w:eastAsia="Calibri" w:cstheme="minorBidi"/>
          <w:noProof/>
          <w:szCs w:val="22"/>
          <w:lang w:eastAsia="en-US"/>
        </w:rPr>
        <w:t>In the context of the Recovery and Resilience Plan (RRP) of October 2021</w:t>
      </w:r>
      <w:r w:rsidRPr="002F67B6">
        <w:rPr>
          <w:rFonts w:eastAsia="Calibri" w:cstheme="minorBidi"/>
          <w:noProof/>
          <w:color w:val="203864"/>
          <w:szCs w:val="22"/>
          <w:lang w:eastAsia="en-US"/>
        </w:rPr>
        <w:t xml:space="preserve">, </w:t>
      </w:r>
      <w:r w:rsidRPr="002F67B6">
        <w:rPr>
          <w:rFonts w:eastAsia="Calibri" w:cstheme="minorBidi"/>
          <w:noProof/>
          <w:color w:val="000000" w:themeColor="text1"/>
          <w:szCs w:val="22"/>
          <w:lang w:eastAsia="en-US"/>
        </w:rPr>
        <w:t xml:space="preserve">Malta </w:t>
      </w:r>
      <w:r w:rsidRPr="00E7192F">
        <w:rPr>
          <w:rFonts w:eastAsia="Calibri" w:cstheme="minorBidi"/>
          <w:noProof/>
          <w:color w:val="000000" w:themeColor="text1"/>
          <w:szCs w:val="22"/>
          <w:lang w:eastAsia="en-US"/>
        </w:rPr>
        <w:t>committed to a review of the independence of specialised tribunals, including as regards th</w:t>
      </w:r>
      <w:r w:rsidRPr="002F67B6">
        <w:rPr>
          <w:rFonts w:eastAsia="Calibri" w:cstheme="minorBidi"/>
          <w:noProof/>
          <w:color w:val="000000" w:themeColor="text1"/>
          <w:szCs w:val="22"/>
          <w:lang w:eastAsia="en-US"/>
        </w:rPr>
        <w:t xml:space="preserve">e </w:t>
      </w:r>
      <w:r w:rsidRPr="002F67B6">
        <w:rPr>
          <w:rFonts w:eastAsiaTheme="minorHAnsi" w:cstheme="minorBidi"/>
          <w:noProof/>
          <w:szCs w:val="22"/>
          <w:lang w:eastAsia="en-US"/>
        </w:rPr>
        <w:t>involvement of the executive in the appointment of their members</w:t>
      </w:r>
      <w:r w:rsidRPr="002F67B6">
        <w:rPr>
          <w:rFonts w:eastAsiaTheme="minorHAnsi" w:cstheme="minorBidi"/>
          <w:noProof/>
          <w:szCs w:val="22"/>
          <w:vertAlign w:val="superscript"/>
          <w:lang w:eastAsia="fr-FR"/>
        </w:rPr>
        <w:footnoteReference w:id="18"/>
      </w:r>
      <w:r w:rsidRPr="002F67B6">
        <w:rPr>
          <w:rFonts w:eastAsiaTheme="minorHAnsi" w:cstheme="minorBidi"/>
          <w:noProof/>
          <w:szCs w:val="22"/>
          <w:lang w:eastAsia="en-US"/>
        </w:rPr>
        <w:t xml:space="preserve">. </w:t>
      </w:r>
      <w:r w:rsidRPr="002F67B6">
        <w:rPr>
          <w:rFonts w:eastAsiaTheme="minorHAnsi" w:cstheme="minorBidi"/>
          <w:noProof/>
          <w:szCs w:val="22"/>
          <w:lang w:val="en-IE" w:eastAsia="en-US"/>
        </w:rPr>
        <w:t>The Venice Commission had raised concerns regarding the operation of specialised tribunals, considering that they do not enjoy the same level of independence as ordinary courts</w:t>
      </w:r>
      <w:r w:rsidRPr="002F67B6">
        <w:rPr>
          <w:rFonts w:eastAsiaTheme="minorHAnsi" w:cstheme="minorBidi"/>
          <w:noProof/>
          <w:szCs w:val="22"/>
          <w:vertAlign w:val="superscript"/>
          <w:lang w:eastAsia="fr-FR"/>
        </w:rPr>
        <w:footnoteReference w:id="19"/>
      </w:r>
      <w:r w:rsidRPr="002F67B6">
        <w:rPr>
          <w:rFonts w:eastAsiaTheme="minorHAnsi" w:cstheme="minorBidi"/>
          <w:noProof/>
          <w:szCs w:val="22"/>
          <w:lang w:val="en-IE" w:eastAsia="en-US"/>
        </w:rPr>
        <w:t xml:space="preserve">. </w:t>
      </w:r>
      <w:r w:rsidRPr="002F67B6">
        <w:rPr>
          <w:rFonts w:eastAsiaTheme="minorHAnsi" w:cstheme="minorBidi"/>
          <w:noProof/>
          <w:szCs w:val="22"/>
          <w:lang w:eastAsia="fr-FR"/>
        </w:rPr>
        <w:t>The European Court of Human Rights</w:t>
      </w:r>
      <w:r w:rsidRPr="002F67B6">
        <w:rPr>
          <w:rFonts w:eastAsiaTheme="minorHAnsi" w:cstheme="minorBidi"/>
          <w:noProof/>
          <w:szCs w:val="22"/>
          <w:lang w:eastAsia="en-US"/>
        </w:rPr>
        <w:t xml:space="preserve"> has also called on the Maltese Government to ensure proper appointment procedures and merit-based selection criteria for</w:t>
      </w:r>
      <w:r w:rsidRPr="002F67B6">
        <w:rPr>
          <w:rFonts w:eastAsiaTheme="minorHAnsi" w:cstheme="minorBidi"/>
          <w:noProof/>
          <w:szCs w:val="22"/>
          <w:lang w:val="en-US" w:eastAsia="en-US"/>
        </w:rPr>
        <w:t xml:space="preserve"> one of Malta’s specialised tribunals,</w:t>
      </w:r>
      <w:r w:rsidRPr="002F67B6">
        <w:rPr>
          <w:rFonts w:eastAsiaTheme="minorHAnsi" w:cstheme="minorBidi"/>
          <w:noProof/>
          <w:szCs w:val="22"/>
          <w:lang w:eastAsia="en-US"/>
        </w:rPr>
        <w:t xml:space="preserve"> </w:t>
      </w:r>
      <w:r w:rsidRPr="002F67B6">
        <w:rPr>
          <w:rFonts w:eastAsiaTheme="minorHAnsi" w:cstheme="minorBidi"/>
          <w:noProof/>
          <w:szCs w:val="22"/>
          <w:lang w:eastAsia="fr-FR"/>
        </w:rPr>
        <w:t>guaranteeing the required standards of independence and impartiality</w:t>
      </w:r>
      <w:r w:rsidRPr="002F67B6">
        <w:rPr>
          <w:rFonts w:eastAsiaTheme="minorHAnsi" w:cstheme="minorBidi"/>
          <w:noProof/>
          <w:szCs w:val="22"/>
          <w:vertAlign w:val="superscript"/>
          <w:lang w:eastAsia="fr-FR"/>
        </w:rPr>
        <w:footnoteReference w:id="20"/>
      </w:r>
      <w:r w:rsidRPr="002F67B6">
        <w:rPr>
          <w:rFonts w:eastAsiaTheme="minorHAnsi" w:cstheme="minorBidi"/>
          <w:noProof/>
          <w:szCs w:val="22"/>
          <w:lang w:eastAsia="fr-FR"/>
        </w:rPr>
        <w:t>. The Government is yet to table draft legislation announced in early 2025</w:t>
      </w:r>
      <w:r w:rsidRPr="002F67B6">
        <w:rPr>
          <w:rFonts w:eastAsiaTheme="minorHAnsi" w:cstheme="minorBidi"/>
          <w:noProof/>
          <w:szCs w:val="22"/>
          <w:vertAlign w:val="superscript"/>
          <w:lang w:eastAsia="fr-FR"/>
        </w:rPr>
        <w:footnoteReference w:id="21"/>
      </w:r>
      <w:r w:rsidRPr="002F67B6">
        <w:rPr>
          <w:rFonts w:eastAsia="Calibri" w:cstheme="minorBidi"/>
          <w:noProof/>
          <w:color w:val="000000" w:themeColor="text1"/>
          <w:szCs w:val="22"/>
          <w:lang w:eastAsia="en-US"/>
        </w:rPr>
        <w:t xml:space="preserve">. In May 2026, the Government submitted a draft bill to the Venice </w:t>
      </w:r>
      <w:r w:rsidRPr="00E7192F">
        <w:rPr>
          <w:rFonts w:eastAsia="Calibri" w:cstheme="minorBidi"/>
          <w:noProof/>
          <w:color w:val="000000" w:themeColor="text1"/>
          <w:szCs w:val="22"/>
          <w:lang w:eastAsia="en-US"/>
        </w:rPr>
        <w:t>Commission</w:t>
      </w:r>
      <w:r w:rsidR="000C1D46" w:rsidRPr="00E7192F">
        <w:rPr>
          <w:rFonts w:eastAsiaTheme="minorHAnsi" w:cstheme="minorBidi"/>
          <w:noProof/>
          <w:szCs w:val="22"/>
          <w:vertAlign w:val="superscript"/>
          <w:lang w:eastAsia="fr-FR"/>
        </w:rPr>
        <w:footnoteReference w:id="22"/>
      </w:r>
      <w:r w:rsidRPr="00E7192F">
        <w:rPr>
          <w:rFonts w:eastAsia="Calibri" w:cstheme="minorBidi"/>
          <w:noProof/>
          <w:color w:val="000000" w:themeColor="text1"/>
          <w:szCs w:val="22"/>
          <w:lang w:eastAsia="en-US"/>
        </w:rPr>
        <w:t>.</w:t>
      </w:r>
      <w:r w:rsidRPr="002F67B6">
        <w:rPr>
          <w:rFonts w:eastAsia="Calibri" w:cstheme="minorBidi"/>
          <w:noProof/>
          <w:color w:val="000000" w:themeColor="text1"/>
          <w:szCs w:val="22"/>
          <w:lang w:eastAsia="en-US"/>
        </w:rPr>
        <w:t xml:space="preserve"> </w:t>
      </w:r>
      <w:r w:rsidRPr="002F67B6">
        <w:rPr>
          <w:rFonts w:eastAsiaTheme="minorHAnsi" w:cstheme="minorBidi"/>
          <w:noProof/>
          <w:szCs w:val="22"/>
          <w:lang w:eastAsia="en-US"/>
        </w:rPr>
        <w:t>In line with RRP commitments, the adoption of legislative amendments would be expected by August 2026, after consulting and taking into account the recommendations of the Venice Commission on the mentioned internal review and on the draft amendments</w:t>
      </w:r>
      <w:r w:rsidRPr="002F67B6">
        <w:rPr>
          <w:rFonts w:eastAsiaTheme="minorHAnsi" w:cstheme="minorBidi"/>
          <w:noProof/>
          <w:szCs w:val="22"/>
          <w:lang w:eastAsia="fr-FR"/>
        </w:rPr>
        <w:t>.</w:t>
      </w:r>
    </w:p>
    <w:p w14:paraId="37033389" w14:textId="5F19DBC2" w:rsidR="002F67B6" w:rsidRPr="002F67B6" w:rsidRDefault="002F67B6" w:rsidP="002F67B6">
      <w:pPr>
        <w:keepNext/>
        <w:outlineLvl w:val="1"/>
        <w:rPr>
          <w:b/>
          <w:noProof/>
          <w:szCs w:val="24"/>
          <w:lang w:eastAsia="en-GB"/>
        </w:rPr>
      </w:pPr>
      <w:r w:rsidRPr="002F67B6">
        <w:rPr>
          <w:b/>
          <w:noProof/>
          <w:szCs w:val="24"/>
          <w:lang w:eastAsia="en-GB"/>
        </w:rPr>
        <w:t>Quality</w:t>
      </w:r>
    </w:p>
    <w:p w14:paraId="10DCCCF7" w14:textId="3ABEF93E" w:rsidR="002F67B6" w:rsidRPr="002F67B6" w:rsidRDefault="002F67B6" w:rsidP="002F67B6">
      <w:pPr>
        <w:rPr>
          <w:rFonts w:eastAsiaTheme="minorHAnsi" w:cstheme="minorBidi"/>
          <w:noProof/>
          <w:szCs w:val="22"/>
          <w:lang w:val="en-US" w:eastAsia="en-US"/>
        </w:rPr>
      </w:pPr>
      <w:bookmarkStart w:id="10" w:name="_Hlk225703087"/>
      <w:bookmarkStart w:id="11" w:name="_Hlk225703058"/>
      <w:r w:rsidRPr="002F67B6">
        <w:rPr>
          <w:rFonts w:eastAsiaTheme="minorHAnsi" w:cstheme="minorBidi"/>
          <w:b/>
          <w:bCs/>
          <w:noProof/>
          <w:szCs w:val="22"/>
          <w:lang w:eastAsia="en-US"/>
        </w:rPr>
        <w:t>Notwithstanding the ongoing recruitment of staff and expansion of court premises, the need for an increase in resources for the judiciary remains</w:t>
      </w:r>
      <w:bookmarkEnd w:id="10"/>
      <w:bookmarkEnd w:id="11"/>
      <w:r w:rsidRPr="002F67B6">
        <w:rPr>
          <w:rFonts w:eastAsiaTheme="minorHAnsi" w:cstheme="minorBidi"/>
          <w:noProof/>
          <w:szCs w:val="22"/>
          <w:lang w:eastAsia="en-US"/>
        </w:rPr>
        <w:t>.</w:t>
      </w:r>
      <w:r w:rsidRPr="002F67B6">
        <w:rPr>
          <w:rFonts w:eastAsiaTheme="minorHAnsi" w:cstheme="minorBidi"/>
          <w:b/>
          <w:bCs/>
          <w:noProof/>
          <w:szCs w:val="22"/>
          <w:lang w:eastAsia="en-US"/>
        </w:rPr>
        <w:t xml:space="preserve"> </w:t>
      </w:r>
      <w:r w:rsidRPr="002F67B6">
        <w:rPr>
          <w:rFonts w:eastAsia="Aptos" w:cs="Arial"/>
          <w:noProof/>
          <w:szCs w:val="22"/>
          <w:lang w:eastAsia="en-US"/>
        </w:rPr>
        <w:t>The Government increased the justice sector budget by 11% in 2026 to finance infrastructural upgrades, recruitments, training, and digital transformation</w:t>
      </w:r>
      <w:r w:rsidRPr="002F67B6">
        <w:rPr>
          <w:rFonts w:eastAsiaTheme="minorHAnsi" w:cstheme="minorBidi"/>
          <w:noProof/>
          <w:szCs w:val="22"/>
          <w:vertAlign w:val="superscript"/>
          <w:lang w:eastAsia="en-US"/>
        </w:rPr>
        <w:footnoteReference w:id="23"/>
      </w:r>
      <w:r w:rsidRPr="002F67B6">
        <w:rPr>
          <w:rFonts w:eastAsia="Aptos" w:cs="Arial"/>
          <w:noProof/>
          <w:szCs w:val="22"/>
          <w:lang w:eastAsia="en-US"/>
        </w:rPr>
        <w:t xml:space="preserve">. </w:t>
      </w:r>
      <w:r w:rsidRPr="002F67B6">
        <w:rPr>
          <w:rFonts w:eastAsiaTheme="minorHAnsi" w:cstheme="minorBidi"/>
          <w:noProof/>
          <w:szCs w:val="22"/>
          <w:lang w:eastAsia="en-US"/>
        </w:rPr>
        <w:t>While the number of court employees has increased</w:t>
      </w:r>
      <w:r w:rsidRPr="002F67B6">
        <w:rPr>
          <w:rFonts w:eastAsiaTheme="minorHAnsi" w:cstheme="minorBidi"/>
          <w:noProof/>
          <w:szCs w:val="22"/>
          <w:vertAlign w:val="superscript"/>
          <w:lang w:eastAsia="en-US"/>
        </w:rPr>
        <w:footnoteReference w:id="24"/>
      </w:r>
      <w:r w:rsidRPr="002F67B6">
        <w:rPr>
          <w:rFonts w:eastAsiaTheme="minorHAnsi" w:cstheme="minorBidi"/>
          <w:noProof/>
          <w:szCs w:val="22"/>
          <w:lang w:eastAsia="en-US"/>
        </w:rPr>
        <w:t xml:space="preserve">, </w:t>
      </w:r>
      <w:r w:rsidRPr="00C93627">
        <w:rPr>
          <w:rFonts w:eastAsiaTheme="minorHAnsi" w:cstheme="minorBidi"/>
          <w:noProof/>
          <w:szCs w:val="22"/>
          <w:lang w:eastAsia="en-US"/>
        </w:rPr>
        <w:t xml:space="preserve">shortages of judicial </w:t>
      </w:r>
      <w:r w:rsidRPr="002F67B6">
        <w:rPr>
          <w:rFonts w:eastAsiaTheme="minorHAnsi" w:cstheme="minorBidi"/>
          <w:noProof/>
          <w:szCs w:val="22"/>
          <w:lang w:eastAsia="en-US"/>
        </w:rPr>
        <w:t>staff remain. Stakeholders acknowledged staff shortages as a factor of delays in courts</w:t>
      </w:r>
      <w:r w:rsidRPr="002F67B6">
        <w:rPr>
          <w:rFonts w:eastAsiaTheme="minorHAnsi" w:cstheme="minorBidi"/>
          <w:noProof/>
          <w:szCs w:val="22"/>
          <w:vertAlign w:val="superscript"/>
          <w:lang w:eastAsia="en-US"/>
        </w:rPr>
        <w:footnoteReference w:id="25"/>
      </w:r>
      <w:r w:rsidRPr="002F67B6">
        <w:rPr>
          <w:rFonts w:eastAsiaTheme="minorHAnsi" w:cstheme="minorBidi"/>
          <w:noProof/>
          <w:szCs w:val="22"/>
          <w:lang w:eastAsia="en-US"/>
        </w:rPr>
        <w:t>, potentially affecting also businesses and economic activities</w:t>
      </w:r>
      <w:r w:rsidRPr="002F67B6">
        <w:rPr>
          <w:rFonts w:eastAsiaTheme="minorHAnsi" w:cstheme="minorBidi"/>
          <w:noProof/>
          <w:szCs w:val="22"/>
          <w:vertAlign w:val="superscript"/>
          <w:lang w:eastAsia="en-US"/>
        </w:rPr>
        <w:footnoteReference w:id="26"/>
      </w:r>
      <w:r w:rsidRPr="002F67B6">
        <w:rPr>
          <w:rFonts w:eastAsiaTheme="minorHAnsi" w:cstheme="minorBidi"/>
          <w:noProof/>
          <w:szCs w:val="22"/>
          <w:lang w:eastAsia="en-US"/>
        </w:rPr>
        <w:t>. Additional judicial appointments covered for retirements and resignations</w:t>
      </w:r>
      <w:r w:rsidRPr="002F67B6">
        <w:rPr>
          <w:rFonts w:eastAsiaTheme="minorHAnsi" w:cstheme="minorBidi"/>
          <w:noProof/>
          <w:szCs w:val="22"/>
          <w:vertAlign w:val="superscript"/>
          <w:lang w:eastAsia="en-US"/>
        </w:rPr>
        <w:footnoteReference w:id="27"/>
      </w:r>
      <w:r w:rsidRPr="002F67B6">
        <w:rPr>
          <w:rFonts w:eastAsiaTheme="minorHAnsi" w:cstheme="minorBidi"/>
          <w:noProof/>
          <w:szCs w:val="22"/>
          <w:lang w:eastAsia="en-US"/>
        </w:rPr>
        <w:t>, but the number of judges per inhabitant remains among the lowest in the EU</w:t>
      </w:r>
      <w:r w:rsidRPr="002F67B6">
        <w:rPr>
          <w:rFonts w:eastAsiaTheme="minorHAnsi" w:cstheme="minorBidi"/>
          <w:noProof/>
          <w:szCs w:val="22"/>
          <w:vertAlign w:val="superscript"/>
          <w:lang w:eastAsia="en-US"/>
        </w:rPr>
        <w:footnoteReference w:id="28"/>
      </w:r>
      <w:r w:rsidRPr="002F67B6">
        <w:rPr>
          <w:rFonts w:eastAsiaTheme="minorHAnsi" w:cstheme="minorBidi"/>
          <w:noProof/>
          <w:szCs w:val="22"/>
          <w:lang w:eastAsia="en-US"/>
        </w:rPr>
        <w:t>. The Chief Justice called for judicial appointments to be carried out on a regular basis, beyond the timely replacement of outgoing judges, in order to ensure the required human resources to tackle the backlog and the length of proceedings</w:t>
      </w:r>
      <w:r w:rsidRPr="002F67B6">
        <w:rPr>
          <w:rFonts w:eastAsiaTheme="minorHAnsi" w:cstheme="minorBidi"/>
          <w:noProof/>
          <w:szCs w:val="22"/>
          <w:vertAlign w:val="superscript"/>
          <w:lang w:eastAsia="en-US"/>
        </w:rPr>
        <w:footnoteReference w:id="29"/>
      </w:r>
      <w:r w:rsidRPr="002F67B6">
        <w:rPr>
          <w:rFonts w:eastAsiaTheme="minorHAnsi" w:cstheme="minorBidi"/>
          <w:noProof/>
          <w:szCs w:val="22"/>
          <w:lang w:eastAsia="en-US"/>
        </w:rPr>
        <w:t>. The increased number of prosecutions also put pressure on the courts</w:t>
      </w:r>
      <w:r w:rsidRPr="002F67B6">
        <w:rPr>
          <w:rFonts w:eastAsiaTheme="minorHAnsi" w:cstheme="minorBidi"/>
          <w:noProof/>
          <w:szCs w:val="22"/>
          <w:vertAlign w:val="superscript"/>
          <w:lang w:eastAsia="fr-FR"/>
        </w:rPr>
        <w:footnoteReference w:id="30"/>
      </w:r>
      <w:r w:rsidRPr="002F67B6">
        <w:rPr>
          <w:rFonts w:eastAsiaTheme="minorHAnsi" w:cstheme="minorBidi"/>
          <w:noProof/>
          <w:szCs w:val="22"/>
          <w:lang w:eastAsia="en-US"/>
        </w:rPr>
        <w:t>. The Government invested in new premises in Valletta for the inquiring magistrates, the Commercial Court and the Family Court, to mitigate the lack of space in the Law Courts. A new court hall allowed holding two jury trials in parallel</w:t>
      </w:r>
      <w:r w:rsidRPr="002F67B6">
        <w:rPr>
          <w:rFonts w:eastAsiaTheme="minorHAnsi" w:cstheme="minorBidi"/>
          <w:noProof/>
          <w:szCs w:val="22"/>
          <w:vertAlign w:val="superscript"/>
          <w:lang w:eastAsia="en-US"/>
        </w:rPr>
        <w:footnoteReference w:id="31"/>
      </w:r>
      <w:r w:rsidRPr="002F67B6">
        <w:rPr>
          <w:rFonts w:eastAsiaTheme="minorHAnsi" w:cstheme="minorBidi"/>
          <w:noProof/>
          <w:szCs w:val="22"/>
          <w:lang w:eastAsia="en-US"/>
        </w:rPr>
        <w:t>, helping address the backlog of over 100 criminal trials by jury</w:t>
      </w:r>
      <w:r w:rsidRPr="002F67B6">
        <w:rPr>
          <w:rFonts w:eastAsiaTheme="minorHAnsi" w:cstheme="minorBidi"/>
          <w:noProof/>
          <w:szCs w:val="22"/>
          <w:vertAlign w:val="superscript"/>
          <w:lang w:eastAsia="en-US"/>
        </w:rPr>
        <w:footnoteReference w:id="32"/>
      </w:r>
      <w:r w:rsidRPr="002F67B6">
        <w:rPr>
          <w:rFonts w:eastAsiaTheme="minorHAnsi" w:cstheme="minorBidi"/>
          <w:noProof/>
          <w:szCs w:val="22"/>
          <w:lang w:eastAsia="en-US"/>
        </w:rPr>
        <w:t xml:space="preserve">. </w:t>
      </w:r>
    </w:p>
    <w:p w14:paraId="01AFCA12" w14:textId="11D78740" w:rsidR="002F67B6" w:rsidRPr="002F67B6" w:rsidRDefault="002F67B6" w:rsidP="002F67B6">
      <w:pPr>
        <w:rPr>
          <w:rFonts w:eastAsiaTheme="minorHAnsi" w:cstheme="minorBidi"/>
          <w:noProof/>
          <w:szCs w:val="22"/>
          <w:lang w:eastAsia="fr-FR"/>
        </w:rPr>
      </w:pPr>
      <w:bookmarkStart w:id="12" w:name="_Hlk226141616"/>
      <w:r w:rsidRPr="002F67B6">
        <w:rPr>
          <w:rFonts w:eastAsiaTheme="minorHAnsi" w:cstheme="minorBidi"/>
          <w:b/>
          <w:bCs/>
          <w:noProof/>
          <w:szCs w:val="22"/>
          <w:lang w:eastAsia="fr-FR"/>
        </w:rPr>
        <w:t>Recruitment of prosecutors continued, with the number of</w:t>
      </w:r>
      <w:r w:rsidRPr="002F67B6" w:rsidDel="00D70989">
        <w:rPr>
          <w:rFonts w:eastAsiaTheme="minorHAnsi" w:cstheme="minorBidi"/>
          <w:b/>
          <w:bCs/>
          <w:noProof/>
          <w:szCs w:val="22"/>
          <w:lang w:eastAsia="fr-FR"/>
        </w:rPr>
        <w:t xml:space="preserve"> </w:t>
      </w:r>
      <w:r w:rsidRPr="002F67B6">
        <w:rPr>
          <w:rFonts w:eastAsiaTheme="minorHAnsi" w:cstheme="minorBidi"/>
          <w:b/>
          <w:bCs/>
          <w:noProof/>
          <w:szCs w:val="22"/>
          <w:lang w:eastAsia="fr-FR"/>
        </w:rPr>
        <w:t xml:space="preserve">prosecutions increasing. </w:t>
      </w:r>
      <w:bookmarkEnd w:id="12"/>
      <w:r w:rsidRPr="002F67B6">
        <w:rPr>
          <w:rFonts w:eastAsiaTheme="minorHAnsi" w:cstheme="minorBidi"/>
          <w:noProof/>
          <w:szCs w:val="22"/>
          <w:lang w:eastAsia="fr-FR"/>
        </w:rPr>
        <w:t>The number of prosecutions reached 578 in 2025 (up from 492 in 2024), including 74 indictments for trial by jury (72 in 2024)</w:t>
      </w:r>
      <w:r w:rsidRPr="002F67B6">
        <w:rPr>
          <w:rFonts w:eastAsiaTheme="minorHAnsi" w:cstheme="minorBidi"/>
          <w:noProof/>
          <w:szCs w:val="22"/>
          <w:vertAlign w:val="superscript"/>
          <w:lang w:eastAsia="fr-FR"/>
        </w:rPr>
        <w:footnoteReference w:id="33"/>
      </w:r>
      <w:r w:rsidRPr="002F67B6">
        <w:rPr>
          <w:rFonts w:eastAsiaTheme="minorHAnsi" w:cstheme="minorBidi"/>
          <w:noProof/>
          <w:szCs w:val="22"/>
          <w:lang w:eastAsia="fr-FR"/>
        </w:rPr>
        <w:t>. Recruitment of prosecutors continued</w:t>
      </w:r>
      <w:r w:rsidRPr="002F67B6">
        <w:rPr>
          <w:rFonts w:eastAsiaTheme="minorHAnsi" w:cstheme="minorBidi"/>
          <w:noProof/>
          <w:szCs w:val="22"/>
          <w:vertAlign w:val="superscript"/>
          <w:lang w:eastAsia="fr-FR"/>
        </w:rPr>
        <w:footnoteReference w:id="34"/>
      </w:r>
      <w:r w:rsidRPr="002F67B6">
        <w:rPr>
          <w:rFonts w:eastAsiaTheme="minorHAnsi" w:cstheme="minorBidi"/>
          <w:noProof/>
          <w:szCs w:val="22"/>
          <w:lang w:eastAsia="fr-FR"/>
        </w:rPr>
        <w:t>, and a retention strategy mitigated staff turnover to allow the build-up of specialised expertise and case ownership</w:t>
      </w:r>
      <w:r w:rsidRPr="002F67B6">
        <w:rPr>
          <w:rFonts w:eastAsiaTheme="minorHAnsi" w:cstheme="minorBidi"/>
          <w:noProof/>
          <w:szCs w:val="22"/>
          <w:vertAlign w:val="superscript"/>
          <w:lang w:eastAsia="fr-FR"/>
        </w:rPr>
        <w:footnoteReference w:id="35"/>
      </w:r>
      <w:r w:rsidRPr="002F67B6">
        <w:rPr>
          <w:rFonts w:eastAsiaTheme="minorHAnsi" w:cstheme="minorBidi"/>
          <w:noProof/>
          <w:szCs w:val="22"/>
          <w:lang w:eastAsia="fr-FR"/>
        </w:rPr>
        <w:t>. A new code of ethics for prosecutors is in place since September 2025</w:t>
      </w:r>
      <w:r w:rsidRPr="002F67B6">
        <w:rPr>
          <w:rFonts w:eastAsiaTheme="minorHAnsi" w:cstheme="minorBidi"/>
          <w:noProof/>
          <w:szCs w:val="22"/>
          <w:vertAlign w:val="superscript"/>
          <w:lang w:eastAsia="fr-FR"/>
        </w:rPr>
        <w:footnoteReference w:id="36"/>
      </w:r>
      <w:r w:rsidRPr="002F67B6">
        <w:rPr>
          <w:rFonts w:eastAsiaTheme="minorHAnsi" w:cstheme="minorBidi"/>
          <w:noProof/>
          <w:szCs w:val="22"/>
          <w:lang w:eastAsia="fr-FR"/>
        </w:rPr>
        <w:t>. The transfer of responsibility for the prosecution of non-summary cases from the Police to the Attorney General continues. The transfer of summary cases</w:t>
      </w:r>
      <w:r w:rsidRPr="002F67B6">
        <w:rPr>
          <w:rFonts w:eastAsiaTheme="minorHAnsi" w:cstheme="minorBidi"/>
          <w:noProof/>
          <w:szCs w:val="22"/>
          <w:vertAlign w:val="superscript"/>
          <w:lang w:eastAsia="fr-FR"/>
        </w:rPr>
        <w:footnoteReference w:id="37"/>
      </w:r>
      <w:r w:rsidRPr="002F67B6">
        <w:rPr>
          <w:rFonts w:eastAsiaTheme="minorHAnsi" w:cstheme="minorBidi"/>
          <w:noProof/>
          <w:szCs w:val="22"/>
          <w:lang w:eastAsia="fr-FR"/>
        </w:rPr>
        <w:t xml:space="preserve"> </w:t>
      </w:r>
      <w:r w:rsidR="006F733C" w:rsidRPr="002F67B6">
        <w:rPr>
          <w:rFonts w:eastAsiaTheme="minorHAnsi" w:cstheme="minorBidi"/>
          <w:noProof/>
          <w:szCs w:val="22"/>
          <w:lang w:eastAsia="fr-FR"/>
        </w:rPr>
        <w:t>would require additional time and resources</w:t>
      </w:r>
      <w:r w:rsidRPr="002F67B6">
        <w:rPr>
          <w:rFonts w:eastAsiaTheme="minorHAnsi" w:cstheme="minorBidi"/>
          <w:noProof/>
          <w:szCs w:val="22"/>
          <w:vertAlign w:val="superscript"/>
          <w:lang w:eastAsia="fr-FR"/>
        </w:rPr>
        <w:footnoteReference w:id="38"/>
      </w:r>
      <w:r w:rsidRPr="002F67B6">
        <w:rPr>
          <w:rFonts w:eastAsiaTheme="minorHAnsi" w:cstheme="minorBidi"/>
          <w:noProof/>
          <w:szCs w:val="22"/>
          <w:lang w:eastAsia="fr-FR"/>
        </w:rPr>
        <w:t>.</w:t>
      </w:r>
    </w:p>
    <w:p w14:paraId="4FE7B9B4" w14:textId="1E30415C" w:rsidR="002F67B6" w:rsidRPr="002F67B6" w:rsidRDefault="002F67B6" w:rsidP="002F67B6">
      <w:pPr>
        <w:rPr>
          <w:rFonts w:eastAsiaTheme="minorHAnsi" w:cstheme="minorBidi"/>
          <w:noProof/>
          <w:szCs w:val="22"/>
          <w:lang w:eastAsia="en-US"/>
        </w:rPr>
      </w:pPr>
      <w:r w:rsidRPr="002F67B6">
        <w:rPr>
          <w:rFonts w:eastAsiaTheme="minorHAnsi" w:cstheme="minorBidi"/>
          <w:b/>
          <w:bCs/>
          <w:noProof/>
          <w:szCs w:val="22"/>
          <w:lang w:eastAsia="en-US"/>
        </w:rPr>
        <w:t>A reform of the legal profession remains pending</w:t>
      </w:r>
      <w:r w:rsidRPr="002F67B6">
        <w:rPr>
          <w:rFonts w:eastAsiaTheme="minorHAnsi" w:cstheme="minorBidi"/>
          <w:noProof/>
          <w:szCs w:val="22"/>
          <w:lang w:eastAsia="en-US"/>
        </w:rPr>
        <w:t>. The Chamber of Advocates regretted the delay in tabling in Parliament a reform of the Lawyer’s Act and called for more resources and self-regulatory powers, as well as mandatory training for lawyers</w:t>
      </w:r>
      <w:r w:rsidRPr="002F67B6">
        <w:rPr>
          <w:rFonts w:eastAsiaTheme="minorHAnsi" w:cstheme="minorBidi"/>
          <w:noProof/>
          <w:szCs w:val="22"/>
          <w:vertAlign w:val="superscript"/>
          <w:lang w:eastAsia="en-US"/>
        </w:rPr>
        <w:footnoteReference w:id="39"/>
      </w:r>
      <w:r w:rsidRPr="002F67B6">
        <w:rPr>
          <w:rFonts w:eastAsiaTheme="minorHAnsi" w:cstheme="minorBidi"/>
          <w:noProof/>
          <w:szCs w:val="22"/>
          <w:lang w:eastAsia="en-US"/>
        </w:rPr>
        <w:t xml:space="preserve">. </w:t>
      </w:r>
      <w:r w:rsidR="00E911C3">
        <w:rPr>
          <w:rFonts w:eastAsiaTheme="minorHAnsi" w:cstheme="minorBidi"/>
          <w:noProof/>
          <w:szCs w:val="22"/>
          <w:lang w:eastAsia="en-US"/>
        </w:rPr>
        <w:t>T</w:t>
      </w:r>
      <w:r w:rsidRPr="002F67B6">
        <w:rPr>
          <w:rFonts w:eastAsiaTheme="minorHAnsi" w:cstheme="minorBidi"/>
          <w:noProof/>
          <w:szCs w:val="22"/>
          <w:lang w:eastAsia="en-US"/>
        </w:rPr>
        <w:t>he Attorney General and the State Advocate institutionalised continuous professional development in late 2025</w:t>
      </w:r>
      <w:r w:rsidRPr="002F67B6">
        <w:rPr>
          <w:rFonts w:eastAsiaTheme="minorHAnsi" w:cstheme="minorBidi"/>
          <w:noProof/>
          <w:szCs w:val="22"/>
          <w:vertAlign w:val="superscript"/>
          <w:lang w:eastAsia="en-US"/>
        </w:rPr>
        <w:footnoteReference w:id="40"/>
      </w:r>
      <w:r w:rsidRPr="002F67B6">
        <w:rPr>
          <w:rFonts w:eastAsiaTheme="minorHAnsi" w:cstheme="minorBidi"/>
          <w:noProof/>
          <w:szCs w:val="22"/>
          <w:lang w:eastAsia="en-US"/>
        </w:rPr>
        <w:t xml:space="preserve">. </w:t>
      </w:r>
      <w:r w:rsidR="00DA3C9E">
        <w:rPr>
          <w:rFonts w:eastAsiaTheme="minorHAnsi" w:cstheme="minorBidi"/>
          <w:noProof/>
          <w:szCs w:val="22"/>
          <w:lang w:eastAsia="en-US"/>
        </w:rPr>
        <w:t>The framework for</w:t>
      </w:r>
      <w:r w:rsidR="003A5FBD">
        <w:rPr>
          <w:rFonts w:eastAsiaTheme="minorHAnsi" w:cstheme="minorBidi"/>
          <w:noProof/>
          <w:szCs w:val="22"/>
          <w:lang w:eastAsia="en-US"/>
        </w:rPr>
        <w:t xml:space="preserve"> judicial training could be improved. </w:t>
      </w:r>
      <w:r w:rsidRPr="002F67B6">
        <w:rPr>
          <w:rFonts w:eastAsiaTheme="minorHAnsi" w:cstheme="minorBidi"/>
          <w:noProof/>
          <w:szCs w:val="22"/>
          <w:lang w:eastAsia="en-US"/>
        </w:rPr>
        <w:t>The resources for training courses provided by the Government to the Judicial Studies Committee (a committee of the Commission for the Administration of Justice) have increased but remain limited</w:t>
      </w:r>
      <w:r w:rsidRPr="002F67B6">
        <w:rPr>
          <w:rFonts w:eastAsiaTheme="minorHAnsi" w:cstheme="minorBidi"/>
          <w:noProof/>
          <w:szCs w:val="22"/>
          <w:vertAlign w:val="superscript"/>
          <w:lang w:eastAsia="en-US"/>
        </w:rPr>
        <w:footnoteReference w:id="41"/>
      </w:r>
      <w:r w:rsidRPr="002F67B6">
        <w:rPr>
          <w:rFonts w:eastAsiaTheme="minorHAnsi" w:cstheme="minorBidi"/>
          <w:noProof/>
          <w:szCs w:val="22"/>
          <w:lang w:eastAsia="en-US"/>
        </w:rPr>
        <w:t xml:space="preserve">. </w:t>
      </w:r>
    </w:p>
    <w:p w14:paraId="07CC0BD5" w14:textId="668AEED0" w:rsidR="002F67B6" w:rsidRPr="002F67B6" w:rsidRDefault="002F67B6" w:rsidP="002F67B6">
      <w:pPr>
        <w:rPr>
          <w:rFonts w:eastAsiaTheme="minorEastAsia" w:cstheme="minorBidi"/>
          <w:noProof/>
          <w:sz w:val="22"/>
          <w:szCs w:val="22"/>
          <w:lang w:eastAsia="en-US"/>
        </w:rPr>
      </w:pPr>
      <w:bookmarkStart w:id="13" w:name="_Hlk226142455"/>
      <w:r w:rsidRPr="450FCB33">
        <w:rPr>
          <w:rFonts w:eastAsiaTheme="minorEastAsia" w:cstheme="minorBidi"/>
          <w:b/>
          <w:noProof/>
          <w:lang w:val="en-US" w:eastAsia="en-US"/>
        </w:rPr>
        <w:t>Investments in the digitalisation of justice are</w:t>
      </w:r>
      <w:r w:rsidRPr="450FCB33">
        <w:rPr>
          <w:rFonts w:eastAsiaTheme="minorEastAsia" w:cstheme="minorBidi"/>
          <w:b/>
          <w:i/>
          <w:noProof/>
          <w:lang w:val="en-US" w:eastAsia="en-US"/>
        </w:rPr>
        <w:t xml:space="preserve"> </w:t>
      </w:r>
      <w:r w:rsidRPr="450FCB33">
        <w:rPr>
          <w:rFonts w:eastAsiaTheme="minorEastAsia" w:cstheme="minorBidi"/>
          <w:b/>
          <w:noProof/>
          <w:lang w:eastAsia="en-US"/>
        </w:rPr>
        <w:t xml:space="preserve">advancing at </w:t>
      </w:r>
      <w:r w:rsidR="00F20667" w:rsidRPr="450FCB33">
        <w:rPr>
          <w:rFonts w:eastAsiaTheme="minorEastAsia" w:cstheme="minorBidi"/>
          <w:b/>
          <w:noProof/>
          <w:lang w:eastAsia="en-US"/>
        </w:rPr>
        <w:t>a</w:t>
      </w:r>
      <w:r w:rsidRPr="450FCB33">
        <w:rPr>
          <w:rFonts w:eastAsiaTheme="minorEastAsia" w:cstheme="minorBidi"/>
          <w:b/>
          <w:noProof/>
          <w:lang w:eastAsia="en-US"/>
        </w:rPr>
        <w:t xml:space="preserve"> limited pace and a number of digital systems </w:t>
      </w:r>
      <w:r w:rsidRPr="450FCB33">
        <w:rPr>
          <w:rFonts w:eastAsiaTheme="minorEastAsia" w:cstheme="minorBidi"/>
          <w:b/>
          <w:noProof/>
          <w:lang w:val="en-US" w:eastAsia="en-US"/>
        </w:rPr>
        <w:t>are still to be implemented</w:t>
      </w:r>
      <w:r w:rsidRPr="450FCB33">
        <w:rPr>
          <w:rFonts w:eastAsiaTheme="minorEastAsia" w:cstheme="minorBidi"/>
          <w:b/>
          <w:noProof/>
          <w:lang w:eastAsia="en-US"/>
        </w:rPr>
        <w:t>.</w:t>
      </w:r>
      <w:bookmarkEnd w:id="13"/>
      <w:r w:rsidRPr="450FCB33">
        <w:rPr>
          <w:rFonts w:eastAsiaTheme="minorEastAsia" w:cstheme="minorBidi"/>
          <w:noProof/>
          <w:lang w:eastAsia="en-US"/>
        </w:rPr>
        <w:t xml:space="preserve"> </w:t>
      </w:r>
      <w:r w:rsidRPr="450FCB33">
        <w:rPr>
          <w:rFonts w:eastAsiaTheme="minorEastAsia" w:cstheme="minorBidi"/>
          <w:noProof/>
          <w:lang w:eastAsia="bg-BG" w:bidi="bg-BG"/>
        </w:rPr>
        <w:t>Tenders for case management systems (CMS) advanced slowly</w:t>
      </w:r>
      <w:r w:rsidRPr="450FCB33">
        <w:rPr>
          <w:rFonts w:eastAsiaTheme="minorEastAsia" w:cstheme="minorBidi"/>
          <w:noProof/>
          <w:vertAlign w:val="superscript"/>
          <w:lang w:eastAsia="en-US"/>
        </w:rPr>
        <w:footnoteReference w:id="42"/>
      </w:r>
      <w:r w:rsidRPr="450FCB33">
        <w:rPr>
          <w:rFonts w:eastAsiaTheme="minorEastAsia" w:cstheme="minorBidi"/>
          <w:noProof/>
          <w:lang w:eastAsia="en-US"/>
        </w:rPr>
        <w:t>, as a follow-up to the digital justice strategy 2022-2027</w:t>
      </w:r>
      <w:r w:rsidRPr="450FCB33">
        <w:rPr>
          <w:rFonts w:eastAsiaTheme="minorEastAsia" w:cstheme="minorBidi"/>
          <w:noProof/>
          <w:vertAlign w:val="superscript"/>
          <w:lang w:eastAsia="en-US"/>
        </w:rPr>
        <w:footnoteReference w:id="43"/>
      </w:r>
      <w:r w:rsidRPr="450FCB33">
        <w:rPr>
          <w:rFonts w:eastAsiaTheme="minorEastAsia" w:cstheme="minorBidi"/>
          <w:noProof/>
          <w:lang w:eastAsia="en-US"/>
        </w:rPr>
        <w:t xml:space="preserve"> which faces delays. The tender for a court information management system</w:t>
      </w:r>
      <w:bookmarkStart w:id="14" w:name="_Hlk226142479"/>
      <w:r w:rsidRPr="450FCB33">
        <w:rPr>
          <w:rFonts w:eastAsiaTheme="minorEastAsia" w:cstheme="minorBidi"/>
          <w:noProof/>
          <w:lang w:eastAsia="bg-BG" w:bidi="bg-BG"/>
        </w:rPr>
        <w:t xml:space="preserve">, launched </w:t>
      </w:r>
      <w:r w:rsidRPr="450FCB33">
        <w:rPr>
          <w:rFonts w:eastAsiaTheme="minorEastAsia" w:cstheme="minorBidi"/>
          <w:noProof/>
          <w:lang w:eastAsia="en-US"/>
        </w:rPr>
        <w:t>in September 2024,</w:t>
      </w:r>
      <w:r w:rsidRPr="450FCB33">
        <w:rPr>
          <w:rFonts w:eastAsiaTheme="minorEastAsia" w:cstheme="minorBidi"/>
          <w:noProof/>
          <w:color w:val="CB3535"/>
          <w:lang w:eastAsia="bg-BG" w:bidi="bg-BG"/>
        </w:rPr>
        <w:t xml:space="preserve"> </w:t>
      </w:r>
      <w:r w:rsidRPr="450FCB33">
        <w:rPr>
          <w:rFonts w:eastAsiaTheme="minorEastAsia" w:cstheme="minorBidi"/>
          <w:noProof/>
          <w:lang w:eastAsia="bg-BG" w:bidi="bg-BG"/>
        </w:rPr>
        <w:t xml:space="preserve">was awarded in February 2026 and is pending appeals. </w:t>
      </w:r>
      <w:r w:rsidRPr="450FCB33">
        <w:rPr>
          <w:rFonts w:eastAsiaTheme="minorEastAsia" w:cstheme="minorBidi"/>
          <w:noProof/>
          <w:lang w:eastAsia="en-US"/>
        </w:rPr>
        <w:t>Online communication and filing cover only certain procedures, and core judicial functions remain paper-based. The Chamber of Advocates regretted the lack of consultation on the conception of online judicial platforms</w:t>
      </w:r>
      <w:r w:rsidRPr="450FCB33">
        <w:rPr>
          <w:rFonts w:eastAsiaTheme="minorEastAsia" w:cstheme="minorBidi"/>
          <w:noProof/>
          <w:vertAlign w:val="superscript"/>
          <w:lang w:eastAsia="en-US"/>
        </w:rPr>
        <w:footnoteReference w:id="44"/>
      </w:r>
      <w:r w:rsidRPr="450FCB33">
        <w:rPr>
          <w:rFonts w:eastAsiaTheme="minorEastAsia" w:cstheme="minorBidi"/>
          <w:noProof/>
          <w:lang w:eastAsia="en-US"/>
        </w:rPr>
        <w:t>. Digitalisation of justice thus has exerted only a modest impact so far</w:t>
      </w:r>
      <w:r w:rsidRPr="450FCB33">
        <w:rPr>
          <w:rFonts w:eastAsiaTheme="minorEastAsia" w:cstheme="minorBidi"/>
          <w:b/>
          <w:noProof/>
          <w:lang w:eastAsia="en-US"/>
        </w:rPr>
        <w:t xml:space="preserve"> </w:t>
      </w:r>
      <w:r w:rsidRPr="450FCB33">
        <w:rPr>
          <w:rFonts w:eastAsiaTheme="minorEastAsia" w:cstheme="minorBidi"/>
          <w:noProof/>
          <w:lang w:eastAsia="en-US"/>
        </w:rPr>
        <w:t>and has not substantially reduced delays</w:t>
      </w:r>
      <w:bookmarkEnd w:id="14"/>
      <w:r w:rsidRPr="450FCB33">
        <w:rPr>
          <w:rFonts w:eastAsiaTheme="minorEastAsia" w:cstheme="minorBidi"/>
          <w:noProof/>
          <w:lang w:eastAsia="en-US"/>
        </w:rPr>
        <w:t>, according to court users</w:t>
      </w:r>
      <w:r w:rsidRPr="450FCB33">
        <w:rPr>
          <w:rFonts w:eastAsiaTheme="minorEastAsia" w:cstheme="minorBidi"/>
          <w:noProof/>
          <w:vertAlign w:val="superscript"/>
          <w:lang w:eastAsia="en-US"/>
        </w:rPr>
        <w:footnoteReference w:id="45"/>
      </w:r>
      <w:r w:rsidRPr="450FCB33">
        <w:rPr>
          <w:rFonts w:eastAsiaTheme="minorEastAsia" w:cstheme="minorBidi"/>
          <w:noProof/>
          <w:lang w:eastAsia="en-US"/>
        </w:rPr>
        <w:t xml:space="preserve">. </w:t>
      </w:r>
    </w:p>
    <w:p w14:paraId="39EEA1E7" w14:textId="77777777" w:rsidR="002F67B6" w:rsidRPr="002F67B6" w:rsidRDefault="002F67B6" w:rsidP="002F67B6">
      <w:pPr>
        <w:widowControl w:val="0"/>
        <w:spacing w:after="220"/>
        <w:rPr>
          <w:rFonts w:eastAsiaTheme="minorHAnsi"/>
          <w:b/>
          <w:noProof/>
          <w:szCs w:val="24"/>
          <w:lang w:eastAsia="en-US"/>
        </w:rPr>
      </w:pPr>
      <w:r w:rsidRPr="002F67B6">
        <w:rPr>
          <w:rFonts w:eastAsiaTheme="minorHAnsi"/>
          <w:b/>
          <w:bCs/>
          <w:noProof/>
          <w:szCs w:val="24"/>
          <w:lang w:eastAsia="bg-BG" w:bidi="bg-BG"/>
        </w:rPr>
        <w:t xml:space="preserve">Reforms have been adopted to improve the specialisation of courts and </w:t>
      </w:r>
      <w:r w:rsidRPr="002F67B6">
        <w:rPr>
          <w:rFonts w:eastAsiaTheme="minorHAnsi"/>
          <w:b/>
          <w:noProof/>
          <w:szCs w:val="24"/>
          <w:lang w:eastAsia="bg-BG" w:bidi="bg-BG"/>
        </w:rPr>
        <w:t>support for legal aid has been increased.</w:t>
      </w:r>
      <w:r w:rsidRPr="002F67B6">
        <w:rPr>
          <w:rFonts w:eastAsiaTheme="minorHAnsi"/>
          <w:b/>
          <w:bCs/>
          <w:noProof/>
          <w:szCs w:val="24"/>
          <w:lang w:eastAsia="bg-BG" w:bidi="bg-BG"/>
        </w:rPr>
        <w:t xml:space="preserve"> </w:t>
      </w:r>
      <w:r w:rsidRPr="002F67B6">
        <w:rPr>
          <w:rFonts w:eastAsiaTheme="minorHAnsi"/>
          <w:noProof/>
          <w:szCs w:val="24"/>
          <w:lang w:eastAsia="bg-BG" w:bidi="bg-BG"/>
        </w:rPr>
        <w:t>Reforms to set up a Commercial</w:t>
      </w:r>
      <w:r w:rsidRPr="002F67B6">
        <w:rPr>
          <w:rFonts w:eastAsiaTheme="minorHAnsi"/>
          <w:b/>
          <w:bCs/>
          <w:noProof/>
          <w:szCs w:val="24"/>
          <w:lang w:eastAsia="bg-BG" w:bidi="bg-BG"/>
        </w:rPr>
        <w:t xml:space="preserve"> </w:t>
      </w:r>
      <w:r w:rsidRPr="002F67B6">
        <w:rPr>
          <w:rFonts w:eastAsiaTheme="minorHAnsi"/>
          <w:noProof/>
          <w:szCs w:val="24"/>
          <w:lang w:eastAsia="bg-BG" w:bidi="bg-BG"/>
        </w:rPr>
        <w:t xml:space="preserve">Court and to </w:t>
      </w:r>
      <w:r w:rsidRPr="002F67B6">
        <w:rPr>
          <w:rFonts w:eastAsia="Calibri"/>
          <w:noProof/>
          <w:szCs w:val="24"/>
          <w:lang w:eastAsia="en-US"/>
        </w:rPr>
        <w:t>reform the Family Court were adopted in March 2026, following public consultations</w:t>
      </w:r>
      <w:r w:rsidRPr="002F67B6">
        <w:rPr>
          <w:rFonts w:eastAsiaTheme="minorHAnsi"/>
          <w:noProof/>
          <w:szCs w:val="24"/>
          <w:vertAlign w:val="superscript"/>
          <w:lang w:eastAsia="en-US"/>
        </w:rPr>
        <w:footnoteReference w:id="46"/>
      </w:r>
      <w:r w:rsidRPr="002F67B6">
        <w:rPr>
          <w:rFonts w:eastAsia="Calibri"/>
          <w:noProof/>
          <w:szCs w:val="24"/>
          <w:lang w:eastAsia="en-US"/>
        </w:rPr>
        <w:t xml:space="preserve">. </w:t>
      </w:r>
      <w:r w:rsidRPr="002F67B6">
        <w:rPr>
          <w:rFonts w:eastAsiaTheme="minorHAnsi"/>
          <w:noProof/>
          <w:szCs w:val="24"/>
          <w:lang w:eastAsia="en-US"/>
        </w:rPr>
        <w:t>The Chamber of Advocates welcomed the preliminary results of this institutional specialisation</w:t>
      </w:r>
      <w:r w:rsidRPr="002F67B6">
        <w:rPr>
          <w:rFonts w:eastAsiaTheme="minorHAnsi"/>
          <w:noProof/>
          <w:szCs w:val="24"/>
          <w:vertAlign w:val="superscript"/>
          <w:lang w:eastAsia="en-US"/>
        </w:rPr>
        <w:footnoteReference w:id="47"/>
      </w:r>
      <w:r w:rsidRPr="002F67B6">
        <w:rPr>
          <w:rFonts w:eastAsiaTheme="minorHAnsi"/>
          <w:noProof/>
          <w:szCs w:val="24"/>
          <w:lang w:eastAsia="en-US"/>
        </w:rPr>
        <w:t xml:space="preserve">. </w:t>
      </w:r>
      <w:r w:rsidRPr="002F67B6">
        <w:rPr>
          <w:rFonts w:eastAsia="Calibri"/>
          <w:noProof/>
          <w:szCs w:val="24"/>
          <w:lang w:eastAsia="en-US"/>
        </w:rPr>
        <w:t xml:space="preserve">The online </w:t>
      </w:r>
      <w:r w:rsidRPr="002F67B6">
        <w:rPr>
          <w:rFonts w:eastAsiaTheme="minorHAnsi"/>
          <w:noProof/>
          <w:szCs w:val="24"/>
          <w:lang w:eastAsia="bg-BG" w:bidi="bg-BG"/>
        </w:rPr>
        <w:t xml:space="preserve">legal aid </w:t>
      </w:r>
      <w:r w:rsidRPr="002F67B6">
        <w:rPr>
          <w:rFonts w:eastAsia="Calibri"/>
          <w:noProof/>
          <w:szCs w:val="24"/>
          <w:lang w:eastAsia="en-US"/>
        </w:rPr>
        <w:t>platform is operational, and the budget and staff of the legal aid agency was increased</w:t>
      </w:r>
      <w:r w:rsidRPr="002F67B6">
        <w:rPr>
          <w:rFonts w:eastAsiaTheme="minorHAnsi"/>
          <w:noProof/>
          <w:szCs w:val="24"/>
          <w:vertAlign w:val="superscript"/>
          <w:lang w:eastAsia="en-US"/>
        </w:rPr>
        <w:footnoteReference w:id="48"/>
      </w:r>
      <w:r w:rsidRPr="002F67B6">
        <w:rPr>
          <w:rFonts w:eastAsiaTheme="minorHAnsi"/>
          <w:noProof/>
          <w:szCs w:val="24"/>
          <w:lang w:eastAsia="bg-BG" w:bidi="bg-BG"/>
        </w:rPr>
        <w:t>. T</w:t>
      </w:r>
      <w:r w:rsidRPr="002F67B6">
        <w:rPr>
          <w:rFonts w:eastAsia="Calibri"/>
          <w:noProof/>
          <w:szCs w:val="24"/>
          <w:lang w:eastAsia="en-US"/>
        </w:rPr>
        <w:t>he budget of the Mediation Centre was increased, while a legislative reform of mediation and arbitration is pending</w:t>
      </w:r>
      <w:r w:rsidRPr="002F67B6">
        <w:rPr>
          <w:rFonts w:eastAsiaTheme="minorHAnsi"/>
          <w:noProof/>
          <w:szCs w:val="24"/>
          <w:vertAlign w:val="superscript"/>
          <w:lang w:eastAsia="en-US"/>
        </w:rPr>
        <w:footnoteReference w:id="49"/>
      </w:r>
      <w:r w:rsidRPr="002F67B6">
        <w:rPr>
          <w:rFonts w:eastAsia="Calibri"/>
          <w:noProof/>
          <w:szCs w:val="24"/>
          <w:lang w:eastAsia="en-US"/>
        </w:rPr>
        <w:t>.</w:t>
      </w:r>
    </w:p>
    <w:p w14:paraId="12C5E540" w14:textId="77777777" w:rsidR="002F67B6" w:rsidRPr="002F67B6" w:rsidRDefault="002F67B6" w:rsidP="002F67B6">
      <w:pPr>
        <w:keepNext/>
        <w:outlineLvl w:val="1"/>
        <w:rPr>
          <w:b/>
          <w:noProof/>
          <w:szCs w:val="24"/>
          <w:lang w:eastAsia="en-GB"/>
        </w:rPr>
      </w:pPr>
      <w:r w:rsidRPr="002F67B6">
        <w:rPr>
          <w:b/>
          <w:noProof/>
          <w:szCs w:val="24"/>
          <w:lang w:eastAsia="en-GB"/>
        </w:rPr>
        <w:t>Efficiency</w:t>
      </w:r>
    </w:p>
    <w:p w14:paraId="4CF882EB" w14:textId="77777777" w:rsidR="002F67B6" w:rsidRPr="002F67B6" w:rsidRDefault="002F67B6" w:rsidP="002F67B6">
      <w:pPr>
        <w:rPr>
          <w:rFonts w:eastAsiaTheme="minorHAnsi" w:cstheme="minorBidi"/>
          <w:noProof/>
          <w:szCs w:val="22"/>
          <w:lang w:eastAsia="en-US"/>
        </w:rPr>
      </w:pPr>
      <w:bookmarkStart w:id="15" w:name="_Hlk225703225"/>
      <w:bookmarkStart w:id="16" w:name="_Hlk225842542"/>
      <w:r w:rsidRPr="002F67B6" w:rsidDel="60C64193">
        <w:rPr>
          <w:rFonts w:eastAsiaTheme="minorHAnsi" w:cstheme="minorBidi"/>
          <w:b/>
          <w:bCs/>
          <w:noProof/>
          <w:szCs w:val="22"/>
          <w:lang w:eastAsia="en-US"/>
        </w:rPr>
        <w:t>There</w:t>
      </w:r>
      <w:r w:rsidRPr="002F67B6">
        <w:rPr>
          <w:rFonts w:eastAsiaTheme="minorHAnsi" w:cstheme="minorBidi"/>
          <w:b/>
          <w:bCs/>
          <w:noProof/>
          <w:szCs w:val="22"/>
          <w:lang w:eastAsia="en-US"/>
        </w:rPr>
        <w:t xml:space="preserve"> has been no further progress on the recommendation to improve the efficiency of the justice system, particularly to reduce the length of proceedings</w:t>
      </w:r>
      <w:bookmarkEnd w:id="15"/>
      <w:r w:rsidRPr="002F67B6">
        <w:rPr>
          <w:rFonts w:eastAsiaTheme="minorHAnsi" w:cstheme="minorBidi"/>
          <w:b/>
          <w:bCs/>
          <w:noProof/>
          <w:szCs w:val="22"/>
          <w:vertAlign w:val="superscript"/>
          <w:lang w:eastAsia="en-US"/>
        </w:rPr>
        <w:footnoteReference w:id="50"/>
      </w:r>
      <w:r w:rsidRPr="002F67B6">
        <w:rPr>
          <w:rFonts w:eastAsiaTheme="minorHAnsi" w:cstheme="minorBidi"/>
          <w:noProof/>
          <w:szCs w:val="22"/>
          <w:lang w:eastAsia="en-US"/>
        </w:rPr>
        <w:t xml:space="preserve">. </w:t>
      </w:r>
      <w:bookmarkEnd w:id="16"/>
      <w:r w:rsidRPr="002F67B6">
        <w:rPr>
          <w:rFonts w:eastAsiaTheme="minorHAnsi" w:cstheme="minorBidi"/>
          <w:noProof/>
          <w:szCs w:val="22"/>
          <w:lang w:eastAsia="en-US"/>
        </w:rPr>
        <w:t>Disposition time and clearance rate indicators for 2024 remained a concern and often showed further deterioration, although preliminary data for 2025 suggest some improvement. The disposition time for first instance civil and commercial cases remains the fourth lengthiest in the EU, and is worsening, with 491 days in 2024, after four years of improvement</w:t>
      </w:r>
      <w:r w:rsidRPr="002F67B6">
        <w:rPr>
          <w:rFonts w:eastAsiaTheme="minorHAnsi" w:cstheme="minorBidi"/>
          <w:noProof/>
          <w:szCs w:val="22"/>
          <w:vertAlign w:val="superscript"/>
          <w:lang w:eastAsia="en-US"/>
        </w:rPr>
        <w:footnoteReference w:id="51"/>
      </w:r>
      <w:r w:rsidRPr="002F67B6">
        <w:rPr>
          <w:rFonts w:eastAsiaTheme="minorHAnsi" w:cstheme="minorBidi"/>
          <w:noProof/>
          <w:szCs w:val="22"/>
          <w:lang w:eastAsia="en-US"/>
        </w:rPr>
        <w:t>. In 2024, the disposition time for first instance criminal cases reached 862 days, showing a significant degradation for the second year</w:t>
      </w:r>
      <w:r w:rsidRPr="002F67B6">
        <w:rPr>
          <w:rFonts w:eastAsiaTheme="minorHAnsi" w:cstheme="minorBidi"/>
          <w:noProof/>
          <w:szCs w:val="22"/>
          <w:vertAlign w:val="superscript"/>
          <w:lang w:eastAsia="en-US"/>
        </w:rPr>
        <w:footnoteReference w:id="52"/>
      </w:r>
      <w:r w:rsidRPr="002F67B6">
        <w:rPr>
          <w:rFonts w:eastAsiaTheme="minorHAnsi" w:cstheme="minorBidi"/>
          <w:noProof/>
          <w:szCs w:val="22"/>
          <w:lang w:eastAsia="en-US"/>
        </w:rPr>
        <w:t>. For severe criminal cases, the disposition time almost doubled to 3 977 days (almost 11 years), the lengthiest in the EU</w:t>
      </w:r>
      <w:r w:rsidRPr="002F67B6">
        <w:rPr>
          <w:rFonts w:eastAsiaTheme="minorHAnsi" w:cstheme="minorBidi"/>
          <w:noProof/>
          <w:szCs w:val="22"/>
          <w:vertAlign w:val="superscript"/>
          <w:lang w:eastAsia="en-US"/>
        </w:rPr>
        <w:footnoteReference w:id="53"/>
      </w:r>
      <w:r w:rsidRPr="002F67B6">
        <w:rPr>
          <w:rFonts w:eastAsiaTheme="minorHAnsi" w:cstheme="minorBidi"/>
          <w:noProof/>
          <w:szCs w:val="22"/>
          <w:lang w:eastAsia="en-US"/>
        </w:rPr>
        <w:t>. The disposition time of first-instance administrative cases declined for the third year in a row in 2024, reaching 1 681 days (over 4.5 years), the lengthiest in the EU</w:t>
      </w:r>
      <w:r w:rsidRPr="002F67B6">
        <w:rPr>
          <w:rFonts w:eastAsiaTheme="minorHAnsi" w:cstheme="minorBidi"/>
          <w:noProof/>
          <w:szCs w:val="22"/>
          <w:vertAlign w:val="superscript"/>
          <w:lang w:eastAsia="en-US"/>
        </w:rPr>
        <w:footnoteReference w:id="54"/>
      </w:r>
      <w:r w:rsidRPr="002F67B6">
        <w:rPr>
          <w:rFonts w:eastAsiaTheme="minorHAnsi" w:cstheme="minorBidi"/>
          <w:noProof/>
          <w:szCs w:val="22"/>
          <w:lang w:eastAsia="en-US"/>
        </w:rPr>
        <w:t>. The backlog of pending cases also continued to increase. The clearance rate in first-instance litigious civil and commercial cases was 94% in 2024</w:t>
      </w:r>
      <w:r w:rsidRPr="002F67B6">
        <w:rPr>
          <w:rFonts w:eastAsiaTheme="minorHAnsi" w:cstheme="minorBidi"/>
          <w:noProof/>
          <w:szCs w:val="22"/>
          <w:vertAlign w:val="superscript"/>
          <w:lang w:eastAsia="en-US"/>
        </w:rPr>
        <w:footnoteReference w:id="55"/>
      </w:r>
      <w:r w:rsidRPr="002F67B6">
        <w:rPr>
          <w:rFonts w:eastAsiaTheme="minorHAnsi" w:cstheme="minorBidi"/>
          <w:noProof/>
          <w:szCs w:val="22"/>
          <w:lang w:eastAsia="en-US"/>
        </w:rPr>
        <w:t>, remaining below 100% since 2016. Administrative cases saw a particularly low, and decreasing, clearance rate of 60%. In first-instance criminal cases, the clearance rate worsened to 66% in 2024</w:t>
      </w:r>
      <w:r w:rsidRPr="002F67B6">
        <w:rPr>
          <w:rFonts w:eastAsiaTheme="minorHAnsi" w:cstheme="minorBidi"/>
          <w:noProof/>
          <w:szCs w:val="22"/>
          <w:vertAlign w:val="superscript"/>
          <w:lang w:eastAsia="en-US"/>
        </w:rPr>
        <w:footnoteReference w:id="56"/>
      </w:r>
      <w:r w:rsidRPr="002F67B6">
        <w:rPr>
          <w:rFonts w:eastAsiaTheme="minorHAnsi" w:cstheme="minorBidi"/>
          <w:noProof/>
          <w:szCs w:val="22"/>
          <w:lang w:eastAsia="en-US"/>
        </w:rPr>
        <w:t>. First-instance severe criminal cases are of particular concern, with a mere 22.4% clearance rate</w:t>
      </w:r>
      <w:r w:rsidRPr="002F67B6">
        <w:rPr>
          <w:rFonts w:eastAsiaTheme="minorHAnsi" w:cstheme="minorBidi"/>
          <w:noProof/>
          <w:szCs w:val="22"/>
          <w:vertAlign w:val="superscript"/>
          <w:lang w:eastAsia="en-US"/>
        </w:rPr>
        <w:footnoteReference w:id="57"/>
      </w:r>
      <w:r w:rsidRPr="002F67B6">
        <w:rPr>
          <w:rFonts w:eastAsiaTheme="minorHAnsi" w:cstheme="minorBidi"/>
          <w:noProof/>
          <w:szCs w:val="22"/>
          <w:lang w:eastAsia="en-US"/>
        </w:rPr>
        <w:t>. On appeal, the clearance rate was of 87.4% in 2024</w:t>
      </w:r>
      <w:r w:rsidRPr="002F67B6">
        <w:rPr>
          <w:rFonts w:eastAsiaTheme="minorHAnsi" w:cstheme="minorBidi"/>
          <w:noProof/>
          <w:szCs w:val="22"/>
          <w:vertAlign w:val="superscript"/>
          <w:lang w:eastAsia="en-US"/>
        </w:rPr>
        <w:footnoteReference w:id="58"/>
      </w:r>
      <w:r w:rsidRPr="002F67B6">
        <w:rPr>
          <w:rFonts w:eastAsiaTheme="minorHAnsi" w:cstheme="minorBidi"/>
          <w:noProof/>
          <w:szCs w:val="22"/>
          <w:lang w:eastAsia="en-US"/>
        </w:rPr>
        <w:t>. The Government’s data from 2025 show improvements, with a marked reduction of disposition time (335, 729 and 864 days for civil, criminal, and first-instance administrative cases respectively), and an increase of clearance rates (106%, 150% and 81% respectively), including for first-instance severe criminal cases (up to 46%)</w:t>
      </w:r>
      <w:r w:rsidRPr="002F67B6">
        <w:rPr>
          <w:rFonts w:eastAsiaTheme="minorHAnsi" w:cstheme="minorBidi"/>
          <w:noProof/>
          <w:szCs w:val="22"/>
          <w:vertAlign w:val="superscript"/>
          <w:lang w:eastAsia="en-US"/>
        </w:rPr>
        <w:footnoteReference w:id="59"/>
      </w:r>
      <w:r w:rsidRPr="002F67B6">
        <w:rPr>
          <w:rFonts w:eastAsiaTheme="minorHAnsi" w:cstheme="minorBidi"/>
          <w:noProof/>
          <w:szCs w:val="22"/>
          <w:lang w:eastAsia="en-US"/>
        </w:rPr>
        <w:t>. The number of constitutional cases has increased in recent years, with over 300 cases pending by October 2025</w:t>
      </w:r>
      <w:r w:rsidRPr="002F67B6">
        <w:rPr>
          <w:rFonts w:eastAsiaTheme="minorHAnsi" w:cstheme="minorBidi"/>
          <w:noProof/>
          <w:szCs w:val="22"/>
          <w:vertAlign w:val="superscript"/>
          <w:lang w:eastAsia="en-US"/>
        </w:rPr>
        <w:footnoteReference w:id="60"/>
      </w:r>
      <w:r w:rsidRPr="002F67B6">
        <w:rPr>
          <w:rFonts w:eastAsiaTheme="minorHAnsi" w:cstheme="minorBidi"/>
          <w:noProof/>
          <w:szCs w:val="22"/>
          <w:lang w:eastAsia="en-US"/>
        </w:rPr>
        <w:t>. Delays and inadequate efficiency of courts are also a concern for business confidence</w:t>
      </w:r>
      <w:r w:rsidRPr="002F67B6">
        <w:rPr>
          <w:rFonts w:eastAsiaTheme="minorHAnsi" w:cstheme="minorBidi"/>
          <w:noProof/>
          <w:szCs w:val="22"/>
          <w:vertAlign w:val="superscript"/>
          <w:lang w:eastAsia="en-US"/>
        </w:rPr>
        <w:footnoteReference w:id="61"/>
      </w:r>
      <w:r w:rsidRPr="002F67B6">
        <w:rPr>
          <w:rFonts w:eastAsiaTheme="minorHAnsi" w:cstheme="minorBidi"/>
          <w:noProof/>
          <w:szCs w:val="22"/>
          <w:lang w:eastAsia="en-US"/>
        </w:rPr>
        <w:t xml:space="preserve">. </w:t>
      </w:r>
      <w:r w:rsidRPr="002F67B6">
        <w:rPr>
          <w:rFonts w:eastAsiaTheme="minorHAnsi" w:cstheme="minorBidi"/>
          <w:noProof/>
          <w:szCs w:val="22"/>
          <w:lang w:eastAsia="fr-FR"/>
        </w:rPr>
        <w:t>Overall, there has been no further progress on the recommendation made in the 2025 Rule of Law Report.</w:t>
      </w:r>
    </w:p>
    <w:p w14:paraId="74C353D3" w14:textId="5E0D0A4D" w:rsidR="002F67B6" w:rsidRPr="002F67B6" w:rsidRDefault="00EE00B7" w:rsidP="002F67B6">
      <w:pPr>
        <w:rPr>
          <w:noProof/>
          <w:szCs w:val="22"/>
          <w:lang w:val="en-IE" w:eastAsia="fr-FR"/>
        </w:rPr>
      </w:pPr>
      <w:r w:rsidRPr="00352C6F">
        <w:rPr>
          <w:rFonts w:eastAsiaTheme="minorHAnsi" w:cstheme="minorBidi"/>
          <w:b/>
          <w:bCs/>
          <w:noProof/>
          <w:szCs w:val="22"/>
          <w:lang w:eastAsia="en-US"/>
        </w:rPr>
        <w:t>The reform of the compilation of evidence, intended to expedite criminal court procedures, is still pending</w:t>
      </w:r>
      <w:r>
        <w:rPr>
          <w:rFonts w:eastAsiaTheme="minorHAnsi" w:cstheme="minorBidi"/>
          <w:noProof/>
          <w:szCs w:val="22"/>
          <w:lang w:eastAsia="en-US"/>
        </w:rPr>
        <w:t>.</w:t>
      </w:r>
      <w:r w:rsidRPr="00EE00B7">
        <w:rPr>
          <w:rFonts w:eastAsiaTheme="minorHAnsi" w:cstheme="minorBidi"/>
          <w:noProof/>
          <w:szCs w:val="22"/>
          <w:lang w:eastAsia="en-US"/>
        </w:rPr>
        <w:t xml:space="preserve"> </w:t>
      </w:r>
      <w:r w:rsidR="002F67B6" w:rsidRPr="002F67B6">
        <w:rPr>
          <w:rFonts w:eastAsiaTheme="minorHAnsi" w:cstheme="minorBidi"/>
          <w:noProof/>
          <w:szCs w:val="22"/>
          <w:lang w:eastAsia="en-US"/>
        </w:rPr>
        <w:t>The Government announced it would table in Parliament a reform of the compilation of evidence, on the basis of a public consultation held in 2023, increasing reliance on written evidence with the aim to shorten pre-trial proceedings</w:t>
      </w:r>
      <w:r w:rsidR="002F67B6" w:rsidRPr="002F67B6">
        <w:rPr>
          <w:rFonts w:eastAsiaTheme="minorHAnsi" w:cstheme="minorBidi"/>
          <w:noProof/>
          <w:szCs w:val="22"/>
          <w:vertAlign w:val="superscript"/>
          <w:lang w:eastAsia="en-US"/>
        </w:rPr>
        <w:footnoteReference w:id="62"/>
      </w:r>
      <w:r w:rsidR="002F67B6" w:rsidRPr="002F67B6" w:rsidDel="3D846D98">
        <w:rPr>
          <w:rFonts w:eastAsiaTheme="minorHAnsi" w:cstheme="minorBidi"/>
          <w:noProof/>
          <w:szCs w:val="22"/>
          <w:lang w:eastAsia="en-US"/>
        </w:rPr>
        <w:t>.</w:t>
      </w:r>
      <w:r w:rsidR="002F67B6" w:rsidRPr="002F67B6">
        <w:rPr>
          <w:rFonts w:eastAsiaTheme="minorHAnsi" w:cstheme="minorBidi"/>
          <w:noProof/>
          <w:szCs w:val="22"/>
          <w:lang w:eastAsia="en-US"/>
        </w:rPr>
        <w:t xml:space="preserve"> Separately, </w:t>
      </w:r>
      <w:r w:rsidR="002F67B6" w:rsidRPr="002F67B6">
        <w:rPr>
          <w:rFonts w:eastAsiaTheme="minorHAnsi"/>
          <w:noProof/>
          <w:szCs w:val="22"/>
          <w:lang w:eastAsia="en-US"/>
        </w:rPr>
        <w:t>in July 2025, the Government tabled in Parliament bills on development planning and appeals with the stated aim to improve efficiency and reduce delays</w:t>
      </w:r>
      <w:r w:rsidR="002F67B6" w:rsidRPr="002F67B6">
        <w:rPr>
          <w:rFonts w:eastAsiaTheme="minorHAnsi"/>
          <w:noProof/>
          <w:szCs w:val="22"/>
          <w:vertAlign w:val="superscript"/>
          <w:lang w:eastAsia="en-US"/>
        </w:rPr>
        <w:footnoteReference w:id="63"/>
      </w:r>
      <w:r w:rsidR="002F67B6" w:rsidRPr="002F67B6">
        <w:rPr>
          <w:rFonts w:eastAsiaTheme="minorHAnsi"/>
          <w:noProof/>
          <w:szCs w:val="22"/>
          <w:lang w:eastAsia="en-US"/>
        </w:rPr>
        <w:t>, which prompted significant public debate and criticism from civil society and professional bodies for their potential impact on access to justice and public participation</w:t>
      </w:r>
      <w:r w:rsidR="002F67B6" w:rsidRPr="002F67B6">
        <w:rPr>
          <w:rFonts w:eastAsiaTheme="minorHAnsi"/>
          <w:noProof/>
          <w:szCs w:val="22"/>
          <w:vertAlign w:val="superscript"/>
          <w:lang w:eastAsia="en-US"/>
        </w:rPr>
        <w:footnoteReference w:id="64"/>
      </w:r>
      <w:r w:rsidR="002F67B6" w:rsidRPr="002F67B6">
        <w:rPr>
          <w:rFonts w:eastAsiaTheme="minorHAnsi"/>
          <w:noProof/>
          <w:szCs w:val="22"/>
          <w:lang w:eastAsia="en-US"/>
        </w:rPr>
        <w:t>. These bills expired upon the dissolution of Parliament in view of early elections in May 2026.</w:t>
      </w:r>
    </w:p>
    <w:p w14:paraId="0473B96C" w14:textId="6C33F8B8" w:rsidR="002F67B6" w:rsidRPr="00C76A32" w:rsidRDefault="002F67B6" w:rsidP="00C76A32">
      <w:pPr>
        <w:pStyle w:val="ListParagraph"/>
        <w:keepNext/>
        <w:numPr>
          <w:ilvl w:val="0"/>
          <w:numId w:val="40"/>
        </w:numPr>
        <w:outlineLvl w:val="0"/>
        <w:rPr>
          <w:b/>
          <w:smallCaps/>
          <w:noProof/>
          <w:szCs w:val="24"/>
          <w:u w:val="single"/>
          <w:lang w:eastAsia="fr-FR"/>
        </w:rPr>
      </w:pPr>
      <w:r w:rsidRPr="00C76A32">
        <w:rPr>
          <w:b/>
          <w:smallCaps/>
          <w:noProof/>
          <w:szCs w:val="24"/>
          <w:u w:val="single"/>
          <w:lang w:eastAsia="fr-FR"/>
        </w:rPr>
        <w:t>Anti-Corruption Framework</w:t>
      </w:r>
      <w:r w:rsidRPr="00C76A32" w:rsidDel="00D67844">
        <w:rPr>
          <w:b/>
          <w:smallCaps/>
          <w:noProof/>
          <w:szCs w:val="24"/>
          <w:u w:val="single"/>
          <w:lang w:eastAsia="fr-FR"/>
        </w:rPr>
        <w:t xml:space="preserve"> </w:t>
      </w:r>
    </w:p>
    <w:p w14:paraId="669D09C5" w14:textId="77777777" w:rsidR="002F67B6" w:rsidRPr="002F67B6" w:rsidRDefault="002F67B6" w:rsidP="002F67B6">
      <w:pPr>
        <w:rPr>
          <w:noProof/>
          <w:szCs w:val="22"/>
          <w:lang w:val="en-US" w:eastAsia="en-GB"/>
        </w:rPr>
      </w:pPr>
      <w:r w:rsidRPr="002F67B6">
        <w:rPr>
          <w:b/>
          <w:bCs/>
          <w:noProof/>
          <w:szCs w:val="22"/>
          <w:lang w:val="en-US" w:eastAsia="en-GB"/>
        </w:rPr>
        <w:t xml:space="preserve">The perception among experts, citizens and business executives is that the level of corruption in the public sector remains high. </w:t>
      </w:r>
      <w:r w:rsidRPr="002F67B6">
        <w:rPr>
          <w:noProof/>
          <w:szCs w:val="22"/>
          <w:lang w:val="en-US" w:eastAsia="en-GB"/>
        </w:rPr>
        <w:t>In the 2025 Corruption Perceptions Index by Transparency International, Malta scores 49/100 and ranks 22</w:t>
      </w:r>
      <w:r w:rsidRPr="002F67B6">
        <w:rPr>
          <w:noProof/>
          <w:szCs w:val="22"/>
          <w:vertAlign w:val="superscript"/>
          <w:lang w:val="en-US" w:eastAsia="en-GB"/>
        </w:rPr>
        <w:t>nd</w:t>
      </w:r>
      <w:r w:rsidRPr="002F67B6">
        <w:rPr>
          <w:noProof/>
          <w:szCs w:val="22"/>
          <w:lang w:val="en-US" w:eastAsia="en-GB"/>
        </w:rPr>
        <w:t xml:space="preserve"> in the European Union and 60</w:t>
      </w:r>
      <w:r w:rsidRPr="002F67B6">
        <w:rPr>
          <w:noProof/>
          <w:szCs w:val="22"/>
          <w:vertAlign w:val="superscript"/>
          <w:lang w:val="en-US" w:eastAsia="en-GB"/>
        </w:rPr>
        <w:t>th</w:t>
      </w:r>
      <w:r w:rsidRPr="002F67B6">
        <w:rPr>
          <w:noProof/>
          <w:szCs w:val="22"/>
          <w:lang w:val="en-US" w:eastAsia="en-GB"/>
        </w:rPr>
        <w:t xml:space="preserve"> globally</w:t>
      </w:r>
      <w:r w:rsidRPr="002F67B6">
        <w:rPr>
          <w:noProof/>
          <w:szCs w:val="22"/>
          <w:vertAlign w:val="superscript"/>
          <w:lang w:val="en-US" w:eastAsia="en-GB"/>
        </w:rPr>
        <w:footnoteReference w:id="65"/>
      </w:r>
      <w:r w:rsidRPr="002F67B6">
        <w:rPr>
          <w:noProof/>
          <w:szCs w:val="22"/>
          <w:lang w:val="en-US" w:eastAsia="en-GB"/>
        </w:rPr>
        <w:t>. This perception has deteriorated over the past five years</w:t>
      </w:r>
      <w:r w:rsidRPr="002F67B6">
        <w:rPr>
          <w:noProof/>
          <w:szCs w:val="22"/>
          <w:vertAlign w:val="superscript"/>
          <w:lang w:val="en-US" w:eastAsia="en-GB"/>
        </w:rPr>
        <w:footnoteReference w:id="66"/>
      </w:r>
      <w:r w:rsidRPr="002F67B6">
        <w:rPr>
          <w:noProof/>
          <w:szCs w:val="22"/>
          <w:lang w:val="en-US" w:eastAsia="en-GB"/>
        </w:rPr>
        <w:t>.</w:t>
      </w:r>
      <w:r w:rsidRPr="002F67B6">
        <w:rPr>
          <w:i/>
          <w:iCs/>
          <w:noProof/>
          <w:szCs w:val="22"/>
          <w:lang w:val="en-US" w:eastAsia="en-GB"/>
        </w:rPr>
        <w:t xml:space="preserve"> </w:t>
      </w:r>
      <w:r w:rsidRPr="002F67B6">
        <w:rPr>
          <w:noProof/>
          <w:szCs w:val="22"/>
          <w:lang w:val="en-US" w:eastAsia="en-GB"/>
        </w:rPr>
        <w:t>The 2026 Special Eurobarometer on Corruption shows that 87% of respondents consider corruption widespread in their country (EU average 71%) and 48% of respondents feel personally affected by corruption in their daily lives (EU average 30%). As regards businesses, 69% of companies consider that corruption is widespread (EU average 65%) and 41% consider that corruption is a problem when doing business (EU average 37%). Furthermore, 25% of respondents</w:t>
      </w:r>
      <w:r w:rsidRPr="002F67B6">
        <w:rPr>
          <w:b/>
          <w:bCs/>
          <w:noProof/>
          <w:szCs w:val="22"/>
          <w:lang w:val="en-US" w:eastAsia="en-GB"/>
        </w:rPr>
        <w:t xml:space="preserve"> </w:t>
      </w:r>
      <w:r w:rsidRPr="002F67B6">
        <w:rPr>
          <w:noProof/>
          <w:szCs w:val="22"/>
          <w:lang w:val="en-US" w:eastAsia="en-GB"/>
        </w:rPr>
        <w:t>find that there are enough successful prosecutions to deter people from corrupt practices (EU average 38%), while 38% of companies believe that people and businesses caught for bribing a senior official are appropriately punished (EU average 31%)</w:t>
      </w:r>
      <w:r w:rsidRPr="002F67B6">
        <w:rPr>
          <w:noProof/>
          <w:szCs w:val="22"/>
          <w:vertAlign w:val="superscript"/>
          <w:lang w:val="en-US" w:eastAsia="en-GB"/>
        </w:rPr>
        <w:footnoteReference w:id="67"/>
      </w:r>
      <w:r w:rsidRPr="002F67B6">
        <w:rPr>
          <w:noProof/>
          <w:szCs w:val="22"/>
          <w:lang w:val="en-US" w:eastAsia="en-GB"/>
        </w:rPr>
        <w:t>.</w:t>
      </w:r>
    </w:p>
    <w:p w14:paraId="318CCAD8" w14:textId="264AEEFD" w:rsidR="002F67B6" w:rsidRPr="002F67B6" w:rsidRDefault="002F67B6" w:rsidP="002F67B6">
      <w:pPr>
        <w:rPr>
          <w:b/>
          <w:bCs/>
          <w:noProof/>
          <w:szCs w:val="24"/>
          <w:lang w:eastAsia="en-US"/>
        </w:rPr>
      </w:pPr>
      <w:r w:rsidRPr="002F67B6">
        <w:rPr>
          <w:b/>
          <w:noProof/>
          <w:szCs w:val="22"/>
          <w:lang w:val="en-US" w:eastAsia="en-US"/>
        </w:rPr>
        <w:t xml:space="preserve">Most actions under the National Anti-Fraud and Corruption Strategy are reported to be completed, and the authorities are preparing a new strategy. </w:t>
      </w:r>
      <w:r w:rsidRPr="002F67B6">
        <w:rPr>
          <w:noProof/>
          <w:szCs w:val="22"/>
          <w:lang w:val="en-US" w:eastAsia="en-US"/>
        </w:rPr>
        <w:t>Preparations have started to update the National Anti-Fraud and Corruption Strategy (NAFCS), as most of its actions have been completed</w:t>
      </w:r>
      <w:r w:rsidRPr="002F67B6">
        <w:rPr>
          <w:noProof/>
          <w:szCs w:val="22"/>
          <w:vertAlign w:val="superscript"/>
          <w:lang w:val="en-US" w:eastAsia="en-US"/>
        </w:rPr>
        <w:footnoteReference w:id="68"/>
      </w:r>
      <w:r w:rsidRPr="002F67B6">
        <w:rPr>
          <w:noProof/>
          <w:szCs w:val="22"/>
          <w:lang w:val="en-US" w:eastAsia="en-US"/>
        </w:rPr>
        <w:t xml:space="preserve">. The Internal Audit and Investigations Department (IAID), which leads the implementation of the strategy, highlights </w:t>
      </w:r>
      <w:r w:rsidR="00941D9E" w:rsidRPr="002F67B6">
        <w:rPr>
          <w:noProof/>
          <w:szCs w:val="22"/>
          <w:lang w:val="en-US" w:eastAsia="en-US"/>
        </w:rPr>
        <w:t xml:space="preserve">as key achievements </w:t>
      </w:r>
      <w:r w:rsidRPr="002F67B6">
        <w:rPr>
          <w:noProof/>
          <w:szCs w:val="22"/>
          <w:lang w:val="en-US" w:eastAsia="en-US"/>
        </w:rPr>
        <w:t>the high number of training courses provided</w:t>
      </w:r>
      <w:r w:rsidR="00100A5C">
        <w:rPr>
          <w:noProof/>
          <w:szCs w:val="22"/>
          <w:lang w:val="en-US" w:eastAsia="en-US"/>
        </w:rPr>
        <w:t xml:space="preserve"> </w:t>
      </w:r>
      <w:r w:rsidR="004E559D">
        <w:rPr>
          <w:noProof/>
          <w:szCs w:val="22"/>
          <w:lang w:val="en-US" w:eastAsia="en-US"/>
        </w:rPr>
        <w:t>and attended</w:t>
      </w:r>
      <w:r w:rsidR="00941D9E">
        <w:rPr>
          <w:noProof/>
          <w:szCs w:val="22"/>
          <w:lang w:val="en-US" w:eastAsia="en-US"/>
        </w:rPr>
        <w:t>,</w:t>
      </w:r>
      <w:r w:rsidRPr="002F67B6">
        <w:rPr>
          <w:noProof/>
          <w:szCs w:val="22"/>
          <w:lang w:val="en-US" w:eastAsia="en-US"/>
        </w:rPr>
        <w:t xml:space="preserve"> the creation of a central documentary repository</w:t>
      </w:r>
      <w:r w:rsidR="00941D9E">
        <w:rPr>
          <w:noProof/>
          <w:szCs w:val="22"/>
          <w:lang w:val="en-US" w:eastAsia="en-US"/>
        </w:rPr>
        <w:t xml:space="preserve">, </w:t>
      </w:r>
      <w:r w:rsidR="00941D9E" w:rsidRPr="00941D9E">
        <w:rPr>
          <w:noProof/>
          <w:szCs w:val="22"/>
          <w:lang w:val="en-US" w:eastAsia="en-US"/>
        </w:rPr>
        <w:t xml:space="preserve">as well as the </w:t>
      </w:r>
      <w:r w:rsidR="00941D9E">
        <w:rPr>
          <w:noProof/>
          <w:szCs w:val="22"/>
          <w:lang w:val="en-US" w:eastAsia="en-US"/>
        </w:rPr>
        <w:t>substantial</w:t>
      </w:r>
      <w:r w:rsidR="00941D9E" w:rsidRPr="00941D9E">
        <w:rPr>
          <w:noProof/>
          <w:szCs w:val="22"/>
          <w:lang w:val="en-US" w:eastAsia="en-US"/>
        </w:rPr>
        <w:t xml:space="preserve"> number of financial investigations and internal audits </w:t>
      </w:r>
      <w:r w:rsidR="00941D9E">
        <w:rPr>
          <w:noProof/>
          <w:szCs w:val="22"/>
          <w:lang w:val="en-US" w:eastAsia="en-US"/>
        </w:rPr>
        <w:t>closed</w:t>
      </w:r>
      <w:r w:rsidRPr="002F67B6">
        <w:rPr>
          <w:noProof/>
          <w:szCs w:val="22"/>
          <w:vertAlign w:val="superscript"/>
          <w:lang w:val="en-US" w:eastAsia="en-US"/>
        </w:rPr>
        <w:footnoteReference w:id="69"/>
      </w:r>
      <w:r w:rsidRPr="002F67B6">
        <w:rPr>
          <w:noProof/>
          <w:szCs w:val="22"/>
          <w:lang w:val="en-US" w:eastAsia="en-US"/>
        </w:rPr>
        <w:t xml:space="preserve">. At the same time, stakeholders continue to criticise the lack of publicly available implementation reports, making it difficult to assess the </w:t>
      </w:r>
      <w:r w:rsidRPr="002F67B6" w:rsidDel="00A01EEA">
        <w:rPr>
          <w:noProof/>
          <w:szCs w:val="22"/>
          <w:lang w:val="en-US" w:eastAsia="en-US"/>
        </w:rPr>
        <w:t>s</w:t>
      </w:r>
      <w:r w:rsidRPr="002F67B6">
        <w:rPr>
          <w:noProof/>
          <w:szCs w:val="22"/>
          <w:lang w:val="en-US" w:eastAsia="en-US"/>
        </w:rPr>
        <w:t>trategy’s results and impact</w:t>
      </w:r>
      <w:r w:rsidRPr="002F67B6">
        <w:rPr>
          <w:noProof/>
          <w:szCs w:val="22"/>
          <w:vertAlign w:val="superscript"/>
          <w:lang w:val="en-US" w:eastAsia="en-US"/>
        </w:rPr>
        <w:footnoteReference w:id="70"/>
      </w:r>
      <w:r w:rsidRPr="002F67B6">
        <w:rPr>
          <w:noProof/>
          <w:szCs w:val="22"/>
          <w:lang w:val="en-US" w:eastAsia="en-US"/>
        </w:rPr>
        <w:t>. GRECO also noted that Malta has not yet adopted a specific integrity strategy to address the corruption risks of persons with top executive functions, as previously recommended</w:t>
      </w:r>
      <w:r w:rsidRPr="002F67B6">
        <w:rPr>
          <w:noProof/>
          <w:szCs w:val="22"/>
          <w:vertAlign w:val="superscript"/>
          <w:lang w:val="en-US" w:eastAsia="en-US"/>
        </w:rPr>
        <w:footnoteReference w:id="71"/>
      </w:r>
      <w:r w:rsidRPr="002F67B6">
        <w:rPr>
          <w:noProof/>
          <w:szCs w:val="22"/>
          <w:lang w:val="en-US" w:eastAsia="en-US"/>
        </w:rPr>
        <w:t>.</w:t>
      </w:r>
    </w:p>
    <w:p w14:paraId="014E991D" w14:textId="70D0B46E" w:rsidR="002F67B6" w:rsidRPr="002F67B6" w:rsidRDefault="00FB620C" w:rsidP="002F67B6">
      <w:pPr>
        <w:rPr>
          <w:rFonts w:eastAsia="Calibri" w:cstheme="minorBidi"/>
          <w:noProof/>
          <w:color w:val="000000"/>
          <w:szCs w:val="22"/>
          <w:shd w:val="clear" w:color="auto" w:fill="FFFFFF"/>
          <w:lang w:eastAsia="en-US"/>
        </w:rPr>
      </w:pPr>
      <w:r w:rsidRPr="00E7192F">
        <w:rPr>
          <w:rFonts w:eastAsia="Calibri" w:cstheme="minorBidi"/>
          <w:b/>
          <w:bCs/>
          <w:noProof/>
          <w:color w:val="000000"/>
          <w:szCs w:val="22"/>
          <w:shd w:val="clear" w:color="auto" w:fill="FFFFFF"/>
          <w:lang w:eastAsia="en-US"/>
        </w:rPr>
        <w:t xml:space="preserve">While </w:t>
      </w:r>
      <w:r w:rsidR="002F67B6" w:rsidRPr="00E7192F">
        <w:rPr>
          <w:rFonts w:eastAsia="Calibri" w:cstheme="minorBidi"/>
          <w:b/>
          <w:bCs/>
          <w:noProof/>
          <w:color w:val="000000"/>
          <w:szCs w:val="22"/>
          <w:shd w:val="clear" w:color="auto" w:fill="FFFFFF"/>
          <w:lang w:eastAsia="en-US"/>
        </w:rPr>
        <w:t xml:space="preserve">efforts continue to increase investigative capacity, there has been limited further progress </w:t>
      </w:r>
      <w:r w:rsidR="002F67B6" w:rsidRPr="00E7192F">
        <w:rPr>
          <w:rFonts w:eastAsiaTheme="minorHAnsi" w:cstheme="minorBidi"/>
          <w:b/>
          <w:bCs/>
          <w:noProof/>
          <w:szCs w:val="22"/>
          <w:lang w:eastAsia="fr-FR"/>
        </w:rPr>
        <w:t xml:space="preserve">on addressing </w:t>
      </w:r>
      <w:r w:rsidR="002F67B6" w:rsidRPr="00E7192F">
        <w:rPr>
          <w:rFonts w:eastAsia="Calibri" w:cstheme="minorBidi"/>
          <w:b/>
          <w:bCs/>
          <w:noProof/>
          <w:color w:val="000000"/>
          <w:szCs w:val="22"/>
          <w:shd w:val="clear" w:color="auto" w:fill="FFFFFF"/>
          <w:lang w:eastAsia="en-US"/>
        </w:rPr>
        <w:t xml:space="preserve">challenges related to the length of investigations of high-level corruption </w:t>
      </w:r>
      <w:r w:rsidR="002F67B6" w:rsidRPr="00E7192F">
        <w:rPr>
          <w:rFonts w:eastAsia="Calibri" w:cstheme="minorBidi"/>
          <w:b/>
          <w:bCs/>
          <w:noProof/>
          <w:szCs w:val="22"/>
          <w:shd w:val="clear" w:color="auto" w:fill="FFFFFF"/>
          <w:lang w:eastAsia="en-US"/>
        </w:rPr>
        <w:t xml:space="preserve">cases, and no </w:t>
      </w:r>
      <w:r w:rsidR="002F67B6" w:rsidRPr="00E7192F">
        <w:rPr>
          <w:rFonts w:eastAsia="Calibri" w:cstheme="minorBidi"/>
          <w:b/>
          <w:bCs/>
          <w:noProof/>
          <w:color w:val="000000"/>
          <w:szCs w:val="22"/>
          <w:shd w:val="clear" w:color="auto" w:fill="FFFFFF"/>
          <w:lang w:eastAsia="en-US"/>
        </w:rPr>
        <w:t xml:space="preserve">progress </w:t>
      </w:r>
      <w:r w:rsidR="002F67B6" w:rsidRPr="00E7192F">
        <w:rPr>
          <w:rFonts w:eastAsia="Calibri" w:cstheme="minorBidi"/>
          <w:b/>
          <w:noProof/>
          <w:color w:val="000000" w:themeColor="text1"/>
          <w:szCs w:val="22"/>
          <w:lang w:eastAsia="en-US"/>
        </w:rPr>
        <w:t xml:space="preserve">as regards </w:t>
      </w:r>
      <w:r w:rsidR="002F67B6" w:rsidRPr="00E7192F">
        <w:rPr>
          <w:rFonts w:eastAsia="Calibri" w:cstheme="minorBidi"/>
          <w:b/>
          <w:bCs/>
          <w:noProof/>
          <w:color w:val="000000"/>
          <w:szCs w:val="22"/>
          <w:shd w:val="clear" w:color="auto" w:fill="FFFFFF"/>
          <w:lang w:eastAsia="en-US"/>
        </w:rPr>
        <w:t>establish</w:t>
      </w:r>
      <w:r w:rsidR="002F67B6" w:rsidRPr="00E7192F">
        <w:rPr>
          <w:rFonts w:eastAsia="Calibri" w:cstheme="minorBidi"/>
          <w:b/>
          <w:noProof/>
          <w:color w:val="000000" w:themeColor="text1"/>
          <w:szCs w:val="22"/>
          <w:lang w:eastAsia="en-US"/>
        </w:rPr>
        <w:t>ing</w:t>
      </w:r>
      <w:r w:rsidR="002F67B6" w:rsidRPr="00E7192F">
        <w:rPr>
          <w:rFonts w:eastAsia="Calibri" w:cstheme="minorBidi"/>
          <w:b/>
          <w:bCs/>
          <w:noProof/>
          <w:color w:val="000000"/>
          <w:szCs w:val="22"/>
          <w:shd w:val="clear" w:color="auto" w:fill="FFFFFF"/>
          <w:lang w:eastAsia="en-US"/>
        </w:rPr>
        <w:t xml:space="preserve"> a robust track record of final judgments</w:t>
      </w:r>
      <w:r w:rsidR="002F67B6" w:rsidRPr="00E7192F">
        <w:rPr>
          <w:rFonts w:eastAsia="Calibri" w:cstheme="minorBidi"/>
          <w:b/>
          <w:bCs/>
          <w:noProof/>
          <w:color w:val="000000"/>
          <w:szCs w:val="22"/>
          <w:shd w:val="clear" w:color="auto" w:fill="FFFFFF"/>
          <w:vertAlign w:val="superscript"/>
          <w:lang w:eastAsia="en-US"/>
        </w:rPr>
        <w:footnoteReference w:id="72"/>
      </w:r>
      <w:r w:rsidR="002F67B6" w:rsidRPr="00E7192F">
        <w:rPr>
          <w:rFonts w:eastAsia="Calibri" w:cstheme="minorBidi"/>
          <w:b/>
          <w:bCs/>
          <w:noProof/>
          <w:color w:val="000000"/>
          <w:szCs w:val="22"/>
          <w:shd w:val="clear" w:color="auto" w:fill="FFFFFF"/>
          <w:lang w:eastAsia="en-US"/>
        </w:rPr>
        <w:t xml:space="preserve">. </w:t>
      </w:r>
      <w:r w:rsidR="002F67B6" w:rsidRPr="00E7192F">
        <w:rPr>
          <w:rFonts w:eastAsia="Calibri" w:cstheme="minorBidi"/>
          <w:noProof/>
          <w:color w:val="000000"/>
          <w:szCs w:val="22"/>
          <w:shd w:val="clear" w:color="auto" w:fill="FFFFFF"/>
          <w:lang w:eastAsia="en-US"/>
        </w:rPr>
        <w:t>The Financial Crimes Investigation Department (FCID) of the Police and the Attorney General have further increased their human resources</w:t>
      </w:r>
      <w:r w:rsidR="002F67B6" w:rsidRPr="00E7192F">
        <w:rPr>
          <w:rFonts w:eastAsia="Calibri" w:cstheme="minorBidi"/>
          <w:noProof/>
          <w:color w:val="000000"/>
          <w:szCs w:val="22"/>
          <w:shd w:val="clear" w:color="auto" w:fill="FFFFFF"/>
          <w:vertAlign w:val="superscript"/>
          <w:lang w:eastAsia="en-US"/>
        </w:rPr>
        <w:footnoteReference w:id="73"/>
      </w:r>
      <w:r w:rsidR="002F67B6" w:rsidRPr="00E7192F">
        <w:rPr>
          <w:rFonts w:eastAsia="Calibri" w:cstheme="minorBidi"/>
          <w:noProof/>
          <w:color w:val="000000"/>
          <w:szCs w:val="22"/>
          <w:shd w:val="clear" w:color="auto" w:fill="FFFFFF"/>
          <w:lang w:eastAsia="en-US"/>
        </w:rPr>
        <w:t>. In 2025, the Police launched 11 new investigations in corruption cases, the Attorney General initiated 12 prosecutions, and the Courts delivered 2 judgments</w:t>
      </w:r>
      <w:r w:rsidR="002F67B6" w:rsidRPr="00E7192F">
        <w:rPr>
          <w:rFonts w:eastAsia="Calibri" w:cstheme="minorBidi"/>
          <w:noProof/>
          <w:color w:val="000000"/>
          <w:szCs w:val="22"/>
          <w:shd w:val="clear" w:color="auto" w:fill="FFFFFF"/>
          <w:vertAlign w:val="superscript"/>
          <w:lang w:eastAsia="en-US"/>
        </w:rPr>
        <w:footnoteReference w:id="74"/>
      </w:r>
      <w:r w:rsidR="006739DD">
        <w:rPr>
          <w:rFonts w:eastAsia="Calibri" w:cstheme="minorBidi"/>
          <w:noProof/>
          <w:color w:val="000000"/>
          <w:szCs w:val="22"/>
          <w:shd w:val="clear" w:color="auto" w:fill="FFFFFF"/>
          <w:lang w:eastAsia="en-US"/>
        </w:rPr>
        <w:t>, while four magistrates conduct magisterial inquiries in criminal matters</w:t>
      </w:r>
      <w:r w:rsidR="006739DD" w:rsidRPr="00E7192F">
        <w:rPr>
          <w:rFonts w:eastAsia="Calibri" w:cstheme="minorBidi"/>
          <w:noProof/>
          <w:color w:val="000000"/>
          <w:szCs w:val="22"/>
          <w:shd w:val="clear" w:color="auto" w:fill="FFFFFF"/>
          <w:lang w:eastAsia="en-US"/>
        </w:rPr>
        <w:t xml:space="preserve">. </w:t>
      </w:r>
      <w:r w:rsidR="002F67B6" w:rsidRPr="00E7192F">
        <w:rPr>
          <w:rFonts w:eastAsia="Calibri" w:cstheme="minorBidi"/>
          <w:noProof/>
          <w:color w:val="000000"/>
          <w:szCs w:val="22"/>
          <w:shd w:val="clear" w:color="auto" w:fill="FFFFFF"/>
          <w:lang w:eastAsia="en-US"/>
        </w:rPr>
        <w:t>The average length of corruption investigations has started to decrease in 2025, while the backlog of pending court cases initiated before 2025 remains high</w:t>
      </w:r>
      <w:r w:rsidR="002F67B6" w:rsidRPr="00E7192F">
        <w:rPr>
          <w:rFonts w:eastAsia="Calibri" w:cstheme="minorBidi"/>
          <w:noProof/>
          <w:color w:val="000000"/>
          <w:szCs w:val="22"/>
          <w:shd w:val="clear" w:color="auto" w:fill="FFFFFF"/>
          <w:vertAlign w:val="superscript"/>
          <w:lang w:eastAsia="en-US"/>
        </w:rPr>
        <w:footnoteReference w:id="75"/>
      </w:r>
      <w:r w:rsidR="002F67B6" w:rsidRPr="00E7192F">
        <w:rPr>
          <w:rFonts w:eastAsia="Calibri" w:cstheme="minorBidi"/>
          <w:noProof/>
          <w:color w:val="000000"/>
          <w:szCs w:val="22"/>
          <w:shd w:val="clear" w:color="auto" w:fill="FFFFFF"/>
          <w:lang w:eastAsia="en-US"/>
        </w:rPr>
        <w:t>. According to the Government, improving the track record remains difficult in the short term</w:t>
      </w:r>
      <w:r w:rsidR="00231D7E" w:rsidRPr="00414642">
        <w:rPr>
          <w:rFonts w:eastAsia="Calibri" w:cstheme="minorBidi"/>
          <w:noProof/>
          <w:color w:val="000000"/>
          <w:szCs w:val="22"/>
          <w:shd w:val="clear" w:color="auto" w:fill="FFFFFF"/>
          <w:lang w:eastAsia="en-US"/>
        </w:rPr>
        <w:t>;</w:t>
      </w:r>
      <w:r w:rsidR="00BD3CB8" w:rsidRPr="00414642">
        <w:rPr>
          <w:rFonts w:eastAsia="Calibri" w:cstheme="minorBidi"/>
          <w:noProof/>
          <w:color w:val="000000"/>
          <w:szCs w:val="22"/>
          <w:shd w:val="clear" w:color="auto" w:fill="FFFFFF"/>
          <w:lang w:eastAsia="en-US"/>
        </w:rPr>
        <w:t xml:space="preserve"> </w:t>
      </w:r>
      <w:r w:rsidR="00231D7E" w:rsidRPr="00414642">
        <w:rPr>
          <w:rFonts w:eastAsia="Calibri" w:cstheme="minorBidi"/>
          <w:noProof/>
          <w:color w:val="000000"/>
          <w:szCs w:val="22"/>
          <w:shd w:val="clear" w:color="auto" w:fill="FFFFFF"/>
          <w:lang w:eastAsia="en-US"/>
        </w:rPr>
        <w:t>challenges</w:t>
      </w:r>
      <w:r w:rsidR="00231D7E" w:rsidRPr="00E7192F">
        <w:rPr>
          <w:rFonts w:eastAsia="Calibri" w:cstheme="minorBidi"/>
          <w:noProof/>
          <w:color w:val="000000"/>
          <w:szCs w:val="22"/>
          <w:shd w:val="clear" w:color="auto" w:fill="FFFFFF"/>
          <w:lang w:eastAsia="en-US"/>
        </w:rPr>
        <w:t xml:space="preserve"> </w:t>
      </w:r>
      <w:r w:rsidR="00647338" w:rsidRPr="00E7192F">
        <w:rPr>
          <w:rFonts w:eastAsia="Calibri" w:cstheme="minorBidi"/>
          <w:noProof/>
          <w:color w:val="000000"/>
          <w:szCs w:val="22"/>
          <w:shd w:val="clear" w:color="auto" w:fill="FFFFFF"/>
          <w:lang w:eastAsia="en-US"/>
        </w:rPr>
        <w:t xml:space="preserve">include </w:t>
      </w:r>
      <w:r w:rsidR="00BD3CB8" w:rsidRPr="00E7192F">
        <w:rPr>
          <w:rFonts w:eastAsia="Calibri" w:cstheme="minorBidi"/>
          <w:noProof/>
          <w:color w:val="000000"/>
          <w:szCs w:val="22"/>
          <w:shd w:val="clear" w:color="auto" w:fill="FFFFFF"/>
          <w:lang w:eastAsia="en-US"/>
        </w:rPr>
        <w:t>the</w:t>
      </w:r>
      <w:r w:rsidR="00097E4A" w:rsidRPr="00E7192F">
        <w:rPr>
          <w:rFonts w:eastAsia="Calibri" w:cstheme="minorBidi"/>
          <w:noProof/>
          <w:color w:val="000000"/>
          <w:szCs w:val="22"/>
          <w:shd w:val="clear" w:color="auto" w:fill="FFFFFF"/>
          <w:lang w:eastAsia="en-US"/>
        </w:rPr>
        <w:t xml:space="preserve"> high</w:t>
      </w:r>
      <w:r w:rsidR="002F67B6" w:rsidRPr="00E7192F">
        <w:rPr>
          <w:rFonts w:eastAsia="Calibri" w:cstheme="minorBidi"/>
          <w:noProof/>
          <w:color w:val="000000"/>
          <w:szCs w:val="22"/>
          <w:shd w:val="clear" w:color="auto" w:fill="FFFFFF"/>
          <w:lang w:eastAsia="en-US"/>
        </w:rPr>
        <w:t xml:space="preserve"> workload</w:t>
      </w:r>
      <w:r w:rsidR="00097E4A" w:rsidRPr="00352C6F">
        <w:rPr>
          <w:rFonts w:eastAsia="Calibri" w:cstheme="minorBidi"/>
          <w:noProof/>
          <w:color w:val="000000"/>
          <w:szCs w:val="22"/>
          <w:shd w:val="clear" w:color="auto" w:fill="FFFFFF"/>
          <w:lang w:eastAsia="en-US"/>
        </w:rPr>
        <w:t xml:space="preserve"> of </w:t>
      </w:r>
      <w:r w:rsidR="00022BEB" w:rsidRPr="00352C6F">
        <w:rPr>
          <w:rFonts w:eastAsia="Calibri" w:cstheme="minorBidi"/>
          <w:noProof/>
          <w:color w:val="000000"/>
          <w:szCs w:val="22"/>
          <w:shd w:val="clear" w:color="auto" w:fill="FFFFFF"/>
          <w:lang w:eastAsia="en-US"/>
        </w:rPr>
        <w:t xml:space="preserve">relevant </w:t>
      </w:r>
      <w:r w:rsidR="00097E4A" w:rsidRPr="00352C6F">
        <w:rPr>
          <w:rFonts w:eastAsia="Calibri" w:cstheme="minorBidi"/>
          <w:noProof/>
          <w:color w:val="000000"/>
          <w:szCs w:val="22"/>
          <w:shd w:val="clear" w:color="auto" w:fill="FFFFFF"/>
          <w:lang w:eastAsia="en-US"/>
        </w:rPr>
        <w:t>experts</w:t>
      </w:r>
      <w:r w:rsidR="009D5169" w:rsidRPr="00352C6F">
        <w:rPr>
          <w:rFonts w:eastAsia="Calibri" w:cstheme="minorBidi"/>
          <w:noProof/>
          <w:color w:val="000000"/>
          <w:szCs w:val="22"/>
          <w:shd w:val="clear" w:color="auto" w:fill="FFFFFF"/>
          <w:lang w:eastAsia="en-US"/>
        </w:rPr>
        <w:t xml:space="preserve"> </w:t>
      </w:r>
      <w:r w:rsidR="00F84B63" w:rsidRPr="00E7192F">
        <w:rPr>
          <w:rFonts w:eastAsia="Calibri" w:cstheme="minorBidi"/>
          <w:noProof/>
          <w:color w:val="000000"/>
          <w:szCs w:val="22"/>
          <w:shd w:val="clear" w:color="auto" w:fill="FFFFFF"/>
          <w:lang w:eastAsia="en-US"/>
        </w:rPr>
        <w:t>and the complexity of some cases</w:t>
      </w:r>
      <w:r w:rsidR="002F67B6" w:rsidRPr="00E7192F">
        <w:rPr>
          <w:rFonts w:eastAsia="Calibri" w:cstheme="minorBidi"/>
          <w:noProof/>
          <w:color w:val="000000"/>
          <w:szCs w:val="22"/>
          <w:shd w:val="clear" w:color="auto" w:fill="FFFFFF"/>
          <w:vertAlign w:val="superscript"/>
          <w:lang w:eastAsia="en-US"/>
        </w:rPr>
        <w:footnoteReference w:id="76"/>
      </w:r>
      <w:r w:rsidR="002F67B6" w:rsidRPr="00E7192F">
        <w:rPr>
          <w:rFonts w:eastAsia="Calibri" w:cstheme="minorBidi"/>
          <w:noProof/>
          <w:color w:val="000000"/>
          <w:szCs w:val="22"/>
          <w:shd w:val="clear" w:color="auto" w:fill="FFFFFF"/>
          <w:lang w:eastAsia="en-US"/>
        </w:rPr>
        <w:t>. The private sector and civil society organisations continue to criticise the length of court proceedings for corruption cases, pointing to the lack of specialised courts for corruption and financial crime and to limited prioritisation of such cases</w:t>
      </w:r>
      <w:r w:rsidR="002F67B6" w:rsidRPr="00E7192F">
        <w:rPr>
          <w:rFonts w:eastAsia="Calibri" w:cstheme="minorBidi"/>
          <w:noProof/>
          <w:color w:val="000000"/>
          <w:szCs w:val="22"/>
          <w:shd w:val="clear" w:color="auto" w:fill="FFFFFF"/>
          <w:vertAlign w:val="superscript"/>
          <w:lang w:eastAsia="en-US"/>
        </w:rPr>
        <w:footnoteReference w:id="77"/>
      </w:r>
      <w:r w:rsidR="00A01878">
        <w:rPr>
          <w:rFonts w:eastAsia="Calibri" w:cstheme="minorBidi"/>
          <w:noProof/>
          <w:color w:val="000000"/>
          <w:szCs w:val="22"/>
          <w:shd w:val="clear" w:color="auto" w:fill="FFFFFF"/>
          <w:lang w:eastAsia="en-US"/>
        </w:rPr>
        <w:t xml:space="preserve"> and to training gaps in the prosecution</w:t>
      </w:r>
      <w:r w:rsidR="006A51A1">
        <w:rPr>
          <w:rFonts w:eastAsia="Calibri" w:cstheme="minorBidi"/>
          <w:noProof/>
          <w:color w:val="000000"/>
          <w:szCs w:val="22"/>
          <w:shd w:val="clear" w:color="auto" w:fill="FFFFFF"/>
          <w:lang w:eastAsia="en-US"/>
        </w:rPr>
        <w:t xml:space="preserve"> service</w:t>
      </w:r>
      <w:r w:rsidR="002F67B6" w:rsidRPr="00E7192F">
        <w:rPr>
          <w:rFonts w:eastAsiaTheme="minorHAnsi" w:cstheme="minorBidi"/>
          <w:noProof/>
          <w:szCs w:val="22"/>
          <w:vertAlign w:val="superscript"/>
          <w:lang w:eastAsia="en-US"/>
        </w:rPr>
        <w:footnoteReference w:id="78"/>
      </w:r>
      <w:r w:rsidR="006A51A1">
        <w:rPr>
          <w:rFonts w:eastAsiaTheme="minorHAnsi" w:cstheme="minorBidi"/>
          <w:noProof/>
          <w:szCs w:val="22"/>
          <w:lang w:eastAsia="en-US"/>
        </w:rPr>
        <w:t>. At the same time</w:t>
      </w:r>
      <w:r w:rsidR="00E67B89" w:rsidRPr="00E7192F">
        <w:rPr>
          <w:rFonts w:eastAsiaTheme="minorHAnsi" w:cstheme="minorBidi"/>
          <w:noProof/>
          <w:szCs w:val="22"/>
          <w:lang w:eastAsia="en-US"/>
        </w:rPr>
        <w:t xml:space="preserve">, the Government </w:t>
      </w:r>
      <w:r w:rsidR="00E67B89" w:rsidRPr="00352C6F">
        <w:rPr>
          <w:rFonts w:eastAsiaTheme="minorHAnsi" w:cstheme="minorBidi"/>
          <w:noProof/>
          <w:szCs w:val="22"/>
          <w:lang w:eastAsia="en-US"/>
        </w:rPr>
        <w:t>highligh</w:t>
      </w:r>
      <w:r w:rsidR="00F35538" w:rsidRPr="00352C6F">
        <w:rPr>
          <w:rFonts w:eastAsiaTheme="minorHAnsi" w:cstheme="minorBidi"/>
          <w:noProof/>
          <w:szCs w:val="22"/>
          <w:lang w:eastAsia="en-US"/>
        </w:rPr>
        <w:t>t</w:t>
      </w:r>
      <w:r w:rsidR="00E67B89" w:rsidRPr="00352C6F">
        <w:rPr>
          <w:rFonts w:eastAsiaTheme="minorHAnsi" w:cstheme="minorBidi"/>
          <w:noProof/>
          <w:szCs w:val="22"/>
          <w:lang w:eastAsia="en-US"/>
        </w:rPr>
        <w:t>s</w:t>
      </w:r>
      <w:r w:rsidR="00E67B89" w:rsidRPr="00E7192F">
        <w:rPr>
          <w:rFonts w:eastAsiaTheme="minorHAnsi" w:cstheme="minorBidi"/>
          <w:noProof/>
          <w:szCs w:val="22"/>
          <w:lang w:eastAsia="en-US"/>
        </w:rPr>
        <w:t xml:space="preserve"> </w:t>
      </w:r>
      <w:r w:rsidR="00E90AE2">
        <w:rPr>
          <w:rFonts w:eastAsiaTheme="minorHAnsi" w:cstheme="minorBidi"/>
          <w:noProof/>
          <w:szCs w:val="22"/>
          <w:lang w:eastAsia="en-US"/>
        </w:rPr>
        <w:t xml:space="preserve">measures to close the training gap as </w:t>
      </w:r>
      <w:r w:rsidR="006A51A1">
        <w:rPr>
          <w:rFonts w:eastAsiaTheme="minorHAnsi" w:cstheme="minorBidi"/>
          <w:noProof/>
          <w:szCs w:val="22"/>
          <w:lang w:eastAsia="en-US"/>
        </w:rPr>
        <w:t xml:space="preserve">prosecutors benefit from </w:t>
      </w:r>
      <w:r w:rsidR="00E67B89" w:rsidRPr="00E7192F">
        <w:rPr>
          <w:rFonts w:eastAsiaTheme="minorHAnsi" w:cstheme="minorBidi"/>
          <w:noProof/>
          <w:szCs w:val="22"/>
          <w:lang w:eastAsia="en-US"/>
        </w:rPr>
        <w:t>continuous specialised training</w:t>
      </w:r>
      <w:r w:rsidR="00D62EF6" w:rsidRPr="00E7192F">
        <w:rPr>
          <w:rFonts w:eastAsia="Calibri" w:cstheme="minorBidi"/>
          <w:noProof/>
          <w:color w:val="000000"/>
          <w:szCs w:val="22"/>
          <w:shd w:val="clear" w:color="auto" w:fill="FFFFFF"/>
          <w:vertAlign w:val="superscript"/>
          <w:lang w:eastAsia="en-US"/>
        </w:rPr>
        <w:footnoteReference w:id="79"/>
      </w:r>
      <w:r w:rsidR="002F67B6" w:rsidRPr="00E7192F">
        <w:rPr>
          <w:rFonts w:eastAsiaTheme="minorHAnsi" w:cstheme="minorBidi"/>
          <w:noProof/>
          <w:szCs w:val="22"/>
          <w:lang w:eastAsia="en-US"/>
        </w:rPr>
        <w:t xml:space="preserve">. </w:t>
      </w:r>
      <w:r w:rsidR="002F67B6" w:rsidRPr="00E7192F">
        <w:rPr>
          <w:rFonts w:eastAsia="Calibri" w:cstheme="minorBidi"/>
          <w:noProof/>
          <w:color w:val="000000"/>
          <w:szCs w:val="22"/>
          <w:shd w:val="clear" w:color="auto" w:fill="FFFFFF"/>
          <w:lang w:eastAsia="en-US"/>
        </w:rPr>
        <w:t>Stakeholders</w:t>
      </w:r>
      <w:r w:rsidR="002F67B6" w:rsidRPr="002F67B6">
        <w:rPr>
          <w:rFonts w:eastAsia="Calibri" w:cstheme="minorBidi"/>
          <w:noProof/>
          <w:color w:val="000000"/>
          <w:szCs w:val="22"/>
          <w:shd w:val="clear" w:color="auto" w:fill="FFFFFF"/>
          <w:lang w:eastAsia="en-US"/>
        </w:rPr>
        <w:t xml:space="preserve"> also maintained their views that the reform of magisterial inquiries</w:t>
      </w:r>
      <w:r w:rsidR="002F67B6" w:rsidRPr="002F67B6">
        <w:rPr>
          <w:rFonts w:eastAsia="Calibri" w:cstheme="minorBidi"/>
          <w:noProof/>
          <w:color w:val="000000"/>
          <w:szCs w:val="22"/>
          <w:shd w:val="clear" w:color="auto" w:fill="FFFFFF"/>
          <w:vertAlign w:val="superscript"/>
          <w:lang w:eastAsia="en-US"/>
        </w:rPr>
        <w:footnoteReference w:id="80"/>
      </w:r>
      <w:r w:rsidR="002F67B6" w:rsidRPr="002F67B6">
        <w:rPr>
          <w:rFonts w:eastAsia="Calibri" w:cstheme="minorBidi"/>
          <w:noProof/>
          <w:color w:val="000000"/>
          <w:szCs w:val="22"/>
          <w:shd w:val="clear" w:color="auto" w:fill="FFFFFF"/>
          <w:lang w:eastAsia="en-US"/>
        </w:rPr>
        <w:t xml:space="preserve"> introduced additional procedural hurdles for citizens to initiate proceedings</w:t>
      </w:r>
      <w:r w:rsidR="002F67B6" w:rsidRPr="002F67B6">
        <w:rPr>
          <w:rFonts w:eastAsia="Calibri" w:cstheme="minorBidi"/>
          <w:noProof/>
          <w:color w:val="000000"/>
          <w:szCs w:val="22"/>
          <w:shd w:val="clear" w:color="auto" w:fill="FFFFFF"/>
          <w:vertAlign w:val="superscript"/>
          <w:lang w:eastAsia="en-US"/>
        </w:rPr>
        <w:footnoteReference w:id="81"/>
      </w:r>
      <w:r w:rsidR="002F67B6" w:rsidRPr="002F67B6">
        <w:rPr>
          <w:rFonts w:eastAsia="Calibri" w:cstheme="minorBidi"/>
          <w:noProof/>
          <w:color w:val="000000"/>
          <w:szCs w:val="22"/>
          <w:shd w:val="clear" w:color="auto" w:fill="FFFFFF"/>
          <w:lang w:eastAsia="en-US"/>
        </w:rPr>
        <w:t xml:space="preserve">. According to the Government, the reform is expected to increase the efficiency of the court system, </w:t>
      </w:r>
      <w:r w:rsidR="002F67B6" w:rsidRPr="002F67B6">
        <w:rPr>
          <w:rFonts w:eastAsiaTheme="minorHAnsi" w:cstheme="minorBidi"/>
          <w:noProof/>
          <w:szCs w:val="22"/>
          <w:lang w:eastAsia="en-US"/>
        </w:rPr>
        <w:t>as the new framework introduced dedicated magistrates for inquiries, a clearer procedural structure, statutory deadlines, strengthened disclosure obligations and more structured rules on expert appointment and oversight</w:t>
      </w:r>
      <w:r w:rsidR="002F67B6" w:rsidRPr="002F67B6">
        <w:rPr>
          <w:rFonts w:eastAsia="Calibri" w:cstheme="minorBidi"/>
          <w:noProof/>
          <w:color w:val="000000"/>
          <w:szCs w:val="22"/>
          <w:shd w:val="clear" w:color="auto" w:fill="FFFFFF"/>
          <w:vertAlign w:val="superscript"/>
          <w:lang w:eastAsia="en-US"/>
        </w:rPr>
        <w:footnoteReference w:id="82"/>
      </w:r>
      <w:r w:rsidR="002F67B6" w:rsidRPr="002F67B6">
        <w:rPr>
          <w:rFonts w:eastAsia="Calibri" w:cstheme="minorBidi"/>
          <w:noProof/>
          <w:color w:val="000000"/>
          <w:szCs w:val="22"/>
          <w:shd w:val="clear" w:color="auto" w:fill="FFFFFF"/>
          <w:lang w:eastAsia="en-US"/>
        </w:rPr>
        <w:t xml:space="preserve">. </w:t>
      </w:r>
      <w:r w:rsidR="002F67B6" w:rsidRPr="002F67B6">
        <w:rPr>
          <w:rFonts w:eastAsia="Calibri" w:cstheme="minorBidi"/>
          <w:noProof/>
          <w:color w:val="000000" w:themeColor="text1"/>
          <w:szCs w:val="22"/>
          <w:lang w:eastAsia="en-US"/>
        </w:rPr>
        <w:t>As a result of the new statutory deadlines</w:t>
      </w:r>
      <w:r w:rsidR="002F67B6" w:rsidRPr="002F67B6" w:rsidDel="00C30398">
        <w:rPr>
          <w:rFonts w:eastAsia="Calibri" w:cstheme="minorBidi"/>
          <w:noProof/>
          <w:color w:val="000000" w:themeColor="text1"/>
          <w:szCs w:val="22"/>
          <w:lang w:eastAsia="en-US"/>
        </w:rPr>
        <w:t>, the</w:t>
      </w:r>
      <w:r w:rsidR="002F67B6" w:rsidRPr="002F67B6">
        <w:rPr>
          <w:rFonts w:eastAsia="Calibri" w:cstheme="minorBidi"/>
          <w:noProof/>
          <w:color w:val="000000" w:themeColor="text1"/>
          <w:szCs w:val="22"/>
          <w:lang w:eastAsia="en-US"/>
        </w:rPr>
        <w:t xml:space="preserve"> Attorney General’s office faced an increased workload, which it considers hav</w:t>
      </w:r>
      <w:r w:rsidR="00BF435D">
        <w:rPr>
          <w:rFonts w:eastAsia="Calibri" w:cstheme="minorBidi"/>
          <w:noProof/>
          <w:color w:val="000000" w:themeColor="text1"/>
          <w:szCs w:val="22"/>
          <w:lang w:eastAsia="en-US"/>
        </w:rPr>
        <w:t>ing</w:t>
      </w:r>
      <w:r w:rsidR="002F67B6" w:rsidRPr="002F67B6">
        <w:rPr>
          <w:rFonts w:eastAsia="Calibri" w:cstheme="minorBidi"/>
          <w:noProof/>
          <w:color w:val="000000" w:themeColor="text1"/>
          <w:szCs w:val="22"/>
          <w:lang w:eastAsia="en-US"/>
        </w:rPr>
        <w:t xml:space="preserve"> an impact on its prosecutorial capacities</w:t>
      </w:r>
      <w:r w:rsidR="002F67B6" w:rsidRPr="002F67B6">
        <w:rPr>
          <w:rFonts w:eastAsia="Calibri" w:cstheme="minorBidi"/>
          <w:noProof/>
          <w:color w:val="000000"/>
          <w:szCs w:val="22"/>
          <w:shd w:val="clear" w:color="auto" w:fill="FFFFFF"/>
          <w:vertAlign w:val="superscript"/>
          <w:lang w:eastAsia="en-US"/>
        </w:rPr>
        <w:footnoteReference w:id="83"/>
      </w:r>
      <w:r w:rsidR="002F67B6" w:rsidRPr="002F67B6">
        <w:rPr>
          <w:rFonts w:eastAsia="Calibri" w:cstheme="minorBidi"/>
          <w:noProof/>
          <w:color w:val="000000" w:themeColor="text1"/>
          <w:szCs w:val="22"/>
          <w:lang w:eastAsia="en-US"/>
        </w:rPr>
        <w:t xml:space="preserve">. </w:t>
      </w:r>
      <w:r w:rsidR="002F67B6" w:rsidRPr="002F67B6">
        <w:rPr>
          <w:rFonts w:eastAsia="Calibri" w:cstheme="minorBidi"/>
          <w:noProof/>
          <w:szCs w:val="22"/>
          <w:lang w:eastAsia="en-US"/>
        </w:rPr>
        <w:t>In view of the above, t</w:t>
      </w:r>
      <w:r w:rsidR="002F67B6" w:rsidRPr="002F67B6">
        <w:rPr>
          <w:rFonts w:eastAsia="Calibri" w:cstheme="minorBidi"/>
          <w:noProof/>
          <w:color w:val="000000"/>
          <w:szCs w:val="22"/>
          <w:shd w:val="clear" w:color="auto" w:fill="FFFFFF"/>
          <w:lang w:eastAsia="en-US"/>
        </w:rPr>
        <w:t>here has been limited</w:t>
      </w:r>
      <w:r w:rsidR="002F67B6" w:rsidRPr="002F67B6">
        <w:rPr>
          <w:rFonts w:eastAsia="Calibri" w:cstheme="minorBidi"/>
          <w:noProof/>
          <w:color w:val="000000" w:themeColor="text1"/>
          <w:szCs w:val="22"/>
          <w:lang w:eastAsia="en-US"/>
        </w:rPr>
        <w:t xml:space="preserve"> </w:t>
      </w:r>
      <w:r w:rsidR="002F67B6" w:rsidRPr="002F67B6">
        <w:rPr>
          <w:rFonts w:eastAsia="Calibri" w:cstheme="minorBidi"/>
          <w:noProof/>
          <w:color w:val="000000"/>
          <w:szCs w:val="22"/>
          <w:shd w:val="clear" w:color="auto" w:fill="FFFFFF"/>
          <w:lang w:eastAsia="en-US"/>
        </w:rPr>
        <w:t>progress in addressing challenges related to the length of investigations of high-level corruption cases and no progress in establishing a robust track record of final judgments.</w:t>
      </w:r>
    </w:p>
    <w:p w14:paraId="3F549C71" w14:textId="4DEAC1AD" w:rsidR="002F67B6" w:rsidRPr="002F67B6" w:rsidRDefault="002F67B6" w:rsidP="002F67B6">
      <w:pPr>
        <w:rPr>
          <w:noProof/>
          <w:lang w:eastAsia="fr-FR"/>
        </w:rPr>
      </w:pPr>
      <w:r w:rsidRPr="002F67B6">
        <w:rPr>
          <w:b/>
          <w:bCs/>
          <w:noProof/>
          <w:lang w:eastAsia="fr-FR"/>
        </w:rPr>
        <w:t xml:space="preserve">The capacity of the Permanent Commission against Corruption (PCAC) to effectively contribute to the investigation and prosecution of corruption cases </w:t>
      </w:r>
      <w:r w:rsidRPr="002F67B6">
        <w:rPr>
          <w:b/>
          <w:noProof/>
          <w:lang w:eastAsia="fr-FR"/>
        </w:rPr>
        <w:t>remains limited</w:t>
      </w:r>
      <w:r w:rsidRPr="002F67B6">
        <w:rPr>
          <w:b/>
          <w:bCs/>
          <w:noProof/>
          <w:lang w:eastAsia="fr-FR"/>
        </w:rPr>
        <w:t xml:space="preserve">. </w:t>
      </w:r>
      <w:r w:rsidRPr="002F67B6">
        <w:rPr>
          <w:noProof/>
          <w:lang w:eastAsia="fr-FR"/>
        </w:rPr>
        <w:t>The PCAC continues to operate with three part-time members</w:t>
      </w:r>
      <w:r w:rsidRPr="002F67B6">
        <w:rPr>
          <w:noProof/>
          <w:vertAlign w:val="superscript"/>
          <w:lang w:eastAsia="fr-FR"/>
        </w:rPr>
        <w:footnoteReference w:id="84"/>
      </w:r>
      <w:r w:rsidRPr="002F67B6">
        <w:rPr>
          <w:noProof/>
          <w:lang w:eastAsia="fr-FR"/>
        </w:rPr>
        <w:t>. The institutional setup of the PCAC, holding investigative powers alongside the police, leads to situations in which both institutions investigate the same case in parallel while not being able to exchange information due to the PCAC’s legal requirement of secrecy</w:t>
      </w:r>
      <w:r w:rsidRPr="002F67B6">
        <w:rPr>
          <w:noProof/>
          <w:vertAlign w:val="superscript"/>
          <w:lang w:eastAsia="fr-FR"/>
        </w:rPr>
        <w:footnoteReference w:id="85"/>
      </w:r>
      <w:r w:rsidRPr="002F67B6">
        <w:rPr>
          <w:noProof/>
          <w:lang w:eastAsia="fr-FR"/>
        </w:rPr>
        <w:t>. As in previous years</w:t>
      </w:r>
      <w:r w:rsidRPr="002F67B6">
        <w:rPr>
          <w:noProof/>
          <w:vertAlign w:val="superscript"/>
          <w:lang w:eastAsia="fr-FR"/>
        </w:rPr>
        <w:footnoteReference w:id="86"/>
      </w:r>
      <w:r w:rsidRPr="002F67B6">
        <w:rPr>
          <w:noProof/>
          <w:lang w:eastAsia="fr-FR"/>
        </w:rPr>
        <w:t xml:space="preserve">, the PCAC did not receive any reports on corruption, nor did it </w:t>
      </w:r>
      <w:r w:rsidRPr="002F67B6">
        <w:rPr>
          <w:rFonts w:eastAsiaTheme="minorHAnsi" w:cstheme="minorBidi"/>
          <w:noProof/>
          <w:szCs w:val="22"/>
          <w:lang w:eastAsia="en-US"/>
        </w:rPr>
        <w:t>establish that there had been a corrupt practice</w:t>
      </w:r>
      <w:r w:rsidRPr="002F67B6">
        <w:rPr>
          <w:noProof/>
          <w:lang w:eastAsia="fr-FR"/>
        </w:rPr>
        <w:t xml:space="preserve"> and hence did not transmit any findings to the Attorney General for prosecution</w:t>
      </w:r>
      <w:r w:rsidRPr="002F67B6">
        <w:rPr>
          <w:noProof/>
          <w:vertAlign w:val="superscript"/>
          <w:lang w:eastAsia="fr-FR"/>
        </w:rPr>
        <w:footnoteReference w:id="87"/>
      </w:r>
      <w:r w:rsidRPr="002F67B6">
        <w:rPr>
          <w:noProof/>
          <w:lang w:eastAsia="fr-FR"/>
        </w:rPr>
        <w:t>.</w:t>
      </w:r>
    </w:p>
    <w:p w14:paraId="2C0269A7" w14:textId="109AA87F" w:rsidR="002F67B6" w:rsidRPr="002F67B6" w:rsidRDefault="002F67B6" w:rsidP="002F67B6">
      <w:pPr>
        <w:rPr>
          <w:noProof/>
          <w:szCs w:val="24"/>
          <w:lang w:eastAsia="en-US"/>
        </w:rPr>
      </w:pPr>
      <w:r w:rsidRPr="002F67B6">
        <w:rPr>
          <w:b/>
          <w:bCs/>
          <w:noProof/>
          <w:szCs w:val="24"/>
          <w:lang w:eastAsia="en-US"/>
        </w:rPr>
        <w:t xml:space="preserve">Integrity training for the public service continued to be delivered and the police adopted a corporate strategy for the years 2025 to 2030. </w:t>
      </w:r>
      <w:r w:rsidRPr="002F67B6">
        <w:rPr>
          <w:noProof/>
          <w:szCs w:val="24"/>
          <w:lang w:eastAsia="en-US"/>
        </w:rPr>
        <w:t>In 2025, integrity and awareness learning courses were delivered to public officials in senior management positions</w:t>
      </w:r>
      <w:r w:rsidRPr="002F67B6">
        <w:rPr>
          <w:noProof/>
          <w:szCs w:val="24"/>
          <w:vertAlign w:val="superscript"/>
          <w:lang w:eastAsia="en-US"/>
        </w:rPr>
        <w:footnoteReference w:id="88"/>
      </w:r>
      <w:r w:rsidRPr="002F67B6">
        <w:rPr>
          <w:noProof/>
          <w:szCs w:val="24"/>
          <w:lang w:eastAsia="en-US"/>
        </w:rPr>
        <w:t>. Malta has implemented six out of seven GRECO recommendations on the prevention of corruption in law enforcement agencies, including with regard to the management of conflicts of interest, and merit-based promotions</w:t>
      </w:r>
      <w:r w:rsidRPr="002F67B6">
        <w:rPr>
          <w:noProof/>
          <w:szCs w:val="24"/>
          <w:vertAlign w:val="superscript"/>
          <w:lang w:eastAsia="en-US"/>
        </w:rPr>
        <w:footnoteReference w:id="89"/>
      </w:r>
      <w:r w:rsidRPr="002F67B6">
        <w:rPr>
          <w:noProof/>
          <w:szCs w:val="24"/>
          <w:lang w:eastAsia="en-US"/>
        </w:rPr>
        <w:t xml:space="preserve">. The Malta Police Force adopted a corporate strategy for 2025-2030. While the strategy does not identify the fight against corruption as a strategic objective, </w:t>
      </w:r>
      <w:r w:rsidRPr="002F67B6" w:rsidDel="00AB5585">
        <w:rPr>
          <w:noProof/>
          <w:szCs w:val="24"/>
          <w:lang w:eastAsia="en-US"/>
        </w:rPr>
        <w:t xml:space="preserve">it </w:t>
      </w:r>
      <w:r w:rsidRPr="002F67B6">
        <w:rPr>
          <w:noProof/>
          <w:szCs w:val="24"/>
          <w:lang w:eastAsia="en-US"/>
        </w:rPr>
        <w:t>aims to enhance technological capabilities in the area of financial crime and fraud</w:t>
      </w:r>
      <w:r w:rsidRPr="002F67B6">
        <w:rPr>
          <w:noProof/>
          <w:szCs w:val="24"/>
          <w:vertAlign w:val="superscript"/>
          <w:lang w:eastAsia="en-US"/>
        </w:rPr>
        <w:footnoteReference w:id="90"/>
      </w:r>
      <w:r w:rsidRPr="002F67B6">
        <w:rPr>
          <w:noProof/>
          <w:szCs w:val="24"/>
          <w:lang w:eastAsia="en-US"/>
        </w:rPr>
        <w:t>.</w:t>
      </w:r>
    </w:p>
    <w:p w14:paraId="739BFF5C" w14:textId="77777777" w:rsidR="002F67B6" w:rsidRPr="002F67B6" w:rsidRDefault="002F67B6" w:rsidP="002F67B6">
      <w:pPr>
        <w:rPr>
          <w:noProof/>
          <w:szCs w:val="22"/>
          <w:lang w:eastAsia="en-US"/>
        </w:rPr>
      </w:pPr>
      <w:r w:rsidRPr="002F67B6">
        <w:rPr>
          <w:b/>
          <w:bCs/>
          <w:noProof/>
          <w:szCs w:val="22"/>
          <w:lang w:eastAsia="en-US"/>
        </w:rPr>
        <w:t>Action remains to be taken to improve the overall ethics framework of the public administration</w:t>
      </w:r>
      <w:r w:rsidRPr="002F67B6">
        <w:rPr>
          <w:noProof/>
          <w:vertAlign w:val="superscript"/>
          <w:lang w:eastAsia="fr-FR"/>
        </w:rPr>
        <w:footnoteReference w:id="91"/>
      </w:r>
      <w:r w:rsidRPr="002F67B6">
        <w:rPr>
          <w:b/>
          <w:bCs/>
          <w:noProof/>
          <w:szCs w:val="22"/>
          <w:lang w:eastAsia="en-US"/>
        </w:rPr>
        <w:t xml:space="preserve">. </w:t>
      </w:r>
      <w:r w:rsidRPr="002F67B6">
        <w:rPr>
          <w:noProof/>
          <w:szCs w:val="22"/>
          <w:lang w:eastAsia="en-US"/>
        </w:rPr>
        <w:t>A detailed framework is in place to detect and manage conflicts of interest among public employees, including for senior officials and with regard to side activities, revolving doors as well as financial and non-financial interests</w:t>
      </w:r>
      <w:r w:rsidRPr="002F67B6">
        <w:rPr>
          <w:noProof/>
          <w:szCs w:val="22"/>
          <w:vertAlign w:val="superscript"/>
          <w:lang w:eastAsia="en-US"/>
        </w:rPr>
        <w:footnoteReference w:id="92"/>
      </w:r>
      <w:r w:rsidRPr="002F67B6">
        <w:rPr>
          <w:noProof/>
          <w:szCs w:val="22"/>
          <w:lang w:eastAsia="en-US"/>
        </w:rPr>
        <w:t>. At the same time, it remains unclear which parts of the framework also apply to persons of trust</w:t>
      </w:r>
      <w:r w:rsidRPr="002F67B6">
        <w:rPr>
          <w:noProof/>
          <w:szCs w:val="22"/>
          <w:vertAlign w:val="superscript"/>
          <w:lang w:eastAsia="en-US"/>
        </w:rPr>
        <w:footnoteReference w:id="93"/>
      </w:r>
      <w:r w:rsidRPr="002F67B6">
        <w:rPr>
          <w:noProof/>
          <w:szCs w:val="22"/>
          <w:lang w:eastAsia="en-US"/>
        </w:rPr>
        <w:t xml:space="preserve">. Stakeholders regret </w:t>
      </w:r>
      <w:r w:rsidRPr="002F67B6" w:rsidDel="008B0AC4">
        <w:rPr>
          <w:noProof/>
          <w:szCs w:val="22"/>
          <w:lang w:eastAsia="en-US"/>
        </w:rPr>
        <w:t xml:space="preserve">that </w:t>
      </w:r>
      <w:r w:rsidRPr="002F67B6">
        <w:rPr>
          <w:noProof/>
          <w:szCs w:val="22"/>
          <w:lang w:eastAsia="en-US"/>
        </w:rPr>
        <w:t xml:space="preserve">the </w:t>
      </w:r>
      <w:r w:rsidRPr="002F67B6" w:rsidDel="008B0AC4">
        <w:rPr>
          <w:noProof/>
          <w:szCs w:val="22"/>
          <w:lang w:eastAsia="en-US"/>
        </w:rPr>
        <w:t xml:space="preserve">system </w:t>
      </w:r>
      <w:r w:rsidRPr="002F67B6">
        <w:rPr>
          <w:noProof/>
          <w:szCs w:val="22"/>
          <w:lang w:eastAsia="en-US"/>
        </w:rPr>
        <w:t xml:space="preserve">is only based on self-reporting by </w:t>
      </w:r>
      <w:r w:rsidRPr="002F67B6" w:rsidDel="008B0AC4">
        <w:rPr>
          <w:noProof/>
          <w:szCs w:val="22"/>
          <w:lang w:eastAsia="en-US"/>
        </w:rPr>
        <w:t xml:space="preserve">public </w:t>
      </w:r>
      <w:r w:rsidRPr="002F67B6">
        <w:rPr>
          <w:noProof/>
          <w:szCs w:val="22"/>
          <w:lang w:eastAsia="en-US"/>
        </w:rPr>
        <w:t>officials without sufficient verification mechanisms</w:t>
      </w:r>
      <w:r w:rsidRPr="002F67B6">
        <w:rPr>
          <w:noProof/>
          <w:szCs w:val="22"/>
          <w:vertAlign w:val="superscript"/>
          <w:lang w:eastAsia="en-US"/>
        </w:rPr>
        <w:footnoteReference w:id="94"/>
      </w:r>
      <w:r w:rsidRPr="002F67B6">
        <w:rPr>
          <w:noProof/>
          <w:szCs w:val="22"/>
          <w:lang w:eastAsia="en-US"/>
        </w:rPr>
        <w:t>. Rules remain to be introduced on post-employment restrictions for Ministers, the receipt of gifts and lobbying transparency</w:t>
      </w:r>
      <w:r w:rsidRPr="002F67B6">
        <w:rPr>
          <w:noProof/>
          <w:szCs w:val="22"/>
          <w:vertAlign w:val="superscript"/>
          <w:lang w:eastAsia="en-US"/>
        </w:rPr>
        <w:footnoteReference w:id="95"/>
      </w:r>
      <w:r w:rsidRPr="002F67B6">
        <w:rPr>
          <w:noProof/>
          <w:szCs w:val="22"/>
          <w:lang w:eastAsia="en-US"/>
        </w:rPr>
        <w:t>. The enforcement of rules on political party financing remains weak, and civil society continues to call to strengthen transparency</w:t>
      </w:r>
      <w:r w:rsidRPr="002F67B6">
        <w:rPr>
          <w:noProof/>
          <w:szCs w:val="22"/>
          <w:vertAlign w:val="superscript"/>
          <w:lang w:eastAsia="en-US"/>
        </w:rPr>
        <w:footnoteReference w:id="96"/>
      </w:r>
      <w:r w:rsidRPr="002F67B6">
        <w:rPr>
          <w:noProof/>
          <w:szCs w:val="22"/>
          <w:lang w:eastAsia="en-US"/>
        </w:rPr>
        <w:t xml:space="preserve">. </w:t>
      </w:r>
    </w:p>
    <w:p w14:paraId="42A06881" w14:textId="76C6C96C" w:rsidR="002F67B6" w:rsidRPr="002F67B6" w:rsidRDefault="002F67B6" w:rsidP="002F67B6">
      <w:pPr>
        <w:rPr>
          <w:noProof/>
          <w:szCs w:val="24"/>
          <w:lang w:val="en-US" w:eastAsia="en-US"/>
        </w:rPr>
      </w:pPr>
      <w:r w:rsidRPr="002F67B6">
        <w:rPr>
          <w:b/>
          <w:bCs/>
          <w:noProof/>
          <w:szCs w:val="24"/>
          <w:lang w:eastAsia="en-US"/>
        </w:rPr>
        <w:t xml:space="preserve">A reform of the asset and interest declaration system for Members of Parliament and Ministers </w:t>
      </w:r>
      <w:r w:rsidRPr="00B20292">
        <w:rPr>
          <w:b/>
          <w:bCs/>
          <w:noProof/>
          <w:szCs w:val="24"/>
          <w:lang w:eastAsia="en-US"/>
        </w:rPr>
        <w:t xml:space="preserve">remains outstanding. </w:t>
      </w:r>
      <w:r w:rsidRPr="00B20292">
        <w:rPr>
          <w:noProof/>
          <w:szCs w:val="24"/>
          <w:lang w:eastAsia="en-US"/>
        </w:rPr>
        <w:t xml:space="preserve">The asset declarations of Ministers have not been published </w:t>
      </w:r>
      <w:r w:rsidR="002D284D" w:rsidRPr="00B20292">
        <w:rPr>
          <w:noProof/>
          <w:szCs w:val="24"/>
          <w:lang w:eastAsia="en-US"/>
        </w:rPr>
        <w:t xml:space="preserve">online </w:t>
      </w:r>
      <w:r w:rsidRPr="00B20292">
        <w:rPr>
          <w:noProof/>
          <w:szCs w:val="24"/>
          <w:lang w:eastAsia="en-US"/>
        </w:rPr>
        <w:t>since 2024</w:t>
      </w:r>
      <w:r w:rsidR="006D0138" w:rsidRPr="00B20292">
        <w:rPr>
          <w:noProof/>
          <w:szCs w:val="24"/>
          <w:lang w:eastAsia="en-US"/>
        </w:rPr>
        <w:t xml:space="preserve">, </w:t>
      </w:r>
      <w:r w:rsidR="00F14D0E" w:rsidRPr="00B20292">
        <w:rPr>
          <w:noProof/>
          <w:szCs w:val="24"/>
          <w:lang w:eastAsia="en-US"/>
        </w:rPr>
        <w:t>given the intention of the government</w:t>
      </w:r>
      <w:r w:rsidR="006D0138" w:rsidRPr="00B20292">
        <w:rPr>
          <w:noProof/>
          <w:szCs w:val="24"/>
          <w:lang w:eastAsia="en-US"/>
        </w:rPr>
        <w:t xml:space="preserve"> to </w:t>
      </w:r>
      <w:r w:rsidR="004040D4" w:rsidRPr="00B20292">
        <w:rPr>
          <w:noProof/>
          <w:szCs w:val="24"/>
          <w:lang w:eastAsia="en-US"/>
        </w:rPr>
        <w:t>create a</w:t>
      </w:r>
      <w:r w:rsidR="006D0138" w:rsidRPr="00B20292">
        <w:rPr>
          <w:noProof/>
          <w:szCs w:val="24"/>
          <w:lang w:eastAsia="en-US"/>
        </w:rPr>
        <w:t xml:space="preserve"> </w:t>
      </w:r>
      <w:r w:rsidR="004040D4" w:rsidRPr="00B20292">
        <w:rPr>
          <w:noProof/>
          <w:szCs w:val="24"/>
          <w:lang w:eastAsia="en-US"/>
        </w:rPr>
        <w:t xml:space="preserve">single </w:t>
      </w:r>
      <w:r w:rsidR="006D0138" w:rsidRPr="00B20292">
        <w:rPr>
          <w:noProof/>
          <w:szCs w:val="24"/>
          <w:lang w:eastAsia="en-US"/>
        </w:rPr>
        <w:t xml:space="preserve">asset declaration system </w:t>
      </w:r>
      <w:r w:rsidR="004040D4" w:rsidRPr="00B20292">
        <w:rPr>
          <w:noProof/>
          <w:szCs w:val="24"/>
          <w:lang w:eastAsia="en-US"/>
        </w:rPr>
        <w:t>for</w:t>
      </w:r>
      <w:r w:rsidR="006D0138" w:rsidRPr="00B20292">
        <w:rPr>
          <w:noProof/>
          <w:szCs w:val="24"/>
          <w:lang w:eastAsia="en-US"/>
        </w:rPr>
        <w:t xml:space="preserve"> Members of Parliament </w:t>
      </w:r>
      <w:r w:rsidR="00F14D0E" w:rsidRPr="00B20292">
        <w:rPr>
          <w:noProof/>
          <w:szCs w:val="24"/>
          <w:lang w:eastAsia="en-US"/>
        </w:rPr>
        <w:t>and Ministers</w:t>
      </w:r>
      <w:r w:rsidRPr="00B20292">
        <w:rPr>
          <w:noProof/>
          <w:szCs w:val="24"/>
          <w:vertAlign w:val="superscript"/>
          <w:lang w:eastAsia="en-US"/>
        </w:rPr>
        <w:footnoteReference w:id="97"/>
      </w:r>
      <w:r w:rsidRPr="00B20292">
        <w:rPr>
          <w:noProof/>
          <w:szCs w:val="24"/>
          <w:lang w:eastAsia="en-US"/>
        </w:rPr>
        <w:t>. In</w:t>
      </w:r>
      <w:r w:rsidRPr="002F67B6">
        <w:rPr>
          <w:noProof/>
          <w:szCs w:val="24"/>
          <w:lang w:eastAsia="en-US"/>
        </w:rPr>
        <w:t xml:space="preserve"> March 2026, the government proposed to reform the asset and interest declaration system </w:t>
      </w:r>
      <w:r w:rsidR="008B6A75">
        <w:rPr>
          <w:noProof/>
          <w:szCs w:val="24"/>
          <w:lang w:eastAsia="en-US"/>
        </w:rPr>
        <w:t xml:space="preserve">and the Code of Ethics for Members of the House of Representatives </w:t>
      </w:r>
      <w:r w:rsidRPr="002F67B6">
        <w:rPr>
          <w:noProof/>
          <w:szCs w:val="24"/>
          <w:lang w:eastAsia="en-US"/>
        </w:rPr>
        <w:t xml:space="preserve">by introducing definitions of key integrity principles, creating a separate register of interests for Members of Parliament (MPs) </w:t>
      </w:r>
      <w:r w:rsidRPr="00642597">
        <w:rPr>
          <w:noProof/>
          <w:szCs w:val="24"/>
          <w:lang w:eastAsia="en-US"/>
        </w:rPr>
        <w:t>and harmonising the rules on asset declarations for MPs and Ministers</w:t>
      </w:r>
      <w:r w:rsidRPr="00642597">
        <w:rPr>
          <w:noProof/>
          <w:szCs w:val="24"/>
          <w:vertAlign w:val="superscript"/>
          <w:lang w:eastAsia="en-US"/>
        </w:rPr>
        <w:footnoteReference w:id="98"/>
      </w:r>
      <w:r w:rsidRPr="00642597">
        <w:rPr>
          <w:noProof/>
          <w:szCs w:val="24"/>
          <w:lang w:eastAsia="en-US"/>
        </w:rPr>
        <w:t>. Under the proposal, MPs</w:t>
      </w:r>
      <w:r w:rsidR="00900FE7" w:rsidRPr="00642597">
        <w:rPr>
          <w:noProof/>
          <w:szCs w:val="24"/>
          <w:lang w:eastAsia="en-US"/>
        </w:rPr>
        <w:t>, including Ministers,</w:t>
      </w:r>
      <w:r w:rsidRPr="00642597">
        <w:rPr>
          <w:noProof/>
          <w:szCs w:val="24"/>
          <w:lang w:eastAsia="en-US"/>
        </w:rPr>
        <w:t xml:space="preserve"> would additionally be obliged to declare their income and intangible assets, while spouses’ properties and financial interests</w:t>
      </w:r>
      <w:r w:rsidR="00DB7C93" w:rsidRPr="00642597">
        <w:rPr>
          <w:noProof/>
          <w:szCs w:val="24"/>
          <w:lang w:eastAsia="en-US"/>
        </w:rPr>
        <w:t xml:space="preserve"> would no longer need to be declared</w:t>
      </w:r>
      <w:r w:rsidRPr="00642597">
        <w:rPr>
          <w:noProof/>
          <w:szCs w:val="24"/>
          <w:lang w:eastAsia="en-US"/>
        </w:rPr>
        <w:t>. The latter has been criticised by stakeholders</w:t>
      </w:r>
      <w:r w:rsidRPr="00642597">
        <w:rPr>
          <w:noProof/>
          <w:szCs w:val="24"/>
          <w:vertAlign w:val="superscript"/>
          <w:lang w:eastAsia="en-US"/>
        </w:rPr>
        <w:footnoteReference w:id="99"/>
      </w:r>
      <w:r w:rsidRPr="00642597">
        <w:rPr>
          <w:noProof/>
          <w:szCs w:val="24"/>
          <w:lang w:eastAsia="en-US"/>
        </w:rPr>
        <w:t>. The draft motion expired following the dissolution of Parliament in April</w:t>
      </w:r>
      <w:r w:rsidR="00E20A9F" w:rsidRPr="00642597">
        <w:rPr>
          <w:noProof/>
          <w:szCs w:val="24"/>
          <w:lang w:eastAsia="en-US"/>
        </w:rPr>
        <w:t>; the Government stated it</w:t>
      </w:r>
      <w:r w:rsidR="003F0938" w:rsidRPr="00642597">
        <w:rPr>
          <w:noProof/>
          <w:szCs w:val="24"/>
          <w:lang w:eastAsia="en-US"/>
        </w:rPr>
        <w:t>s</w:t>
      </w:r>
      <w:r w:rsidR="00E20A9F" w:rsidRPr="00642597">
        <w:rPr>
          <w:noProof/>
          <w:szCs w:val="24"/>
          <w:lang w:eastAsia="en-US"/>
        </w:rPr>
        <w:t xml:space="preserve"> inten</w:t>
      </w:r>
      <w:r w:rsidR="003F0938" w:rsidRPr="00642597">
        <w:rPr>
          <w:noProof/>
          <w:szCs w:val="24"/>
          <w:lang w:eastAsia="en-US"/>
        </w:rPr>
        <w:t>tion</w:t>
      </w:r>
      <w:r w:rsidR="00E20A9F" w:rsidRPr="00642597">
        <w:rPr>
          <w:noProof/>
          <w:szCs w:val="24"/>
          <w:lang w:eastAsia="en-US"/>
        </w:rPr>
        <w:t xml:space="preserve"> to pursue the reform</w:t>
      </w:r>
      <w:r w:rsidR="00E20A9F" w:rsidRPr="00E7192F">
        <w:rPr>
          <w:noProof/>
          <w:szCs w:val="24"/>
          <w:lang w:eastAsia="en-US"/>
        </w:rPr>
        <w:t xml:space="preserve"> in the new legislature</w:t>
      </w:r>
      <w:r w:rsidR="00E20A9F" w:rsidRPr="00E7192F">
        <w:rPr>
          <w:noProof/>
          <w:szCs w:val="22"/>
          <w:vertAlign w:val="superscript"/>
          <w:lang w:eastAsia="en-US"/>
        </w:rPr>
        <w:footnoteReference w:id="100"/>
      </w:r>
      <w:r w:rsidRPr="00E7192F">
        <w:rPr>
          <w:noProof/>
          <w:szCs w:val="24"/>
          <w:lang w:eastAsia="en-US"/>
        </w:rPr>
        <w:t>. The overall</w:t>
      </w:r>
      <w:r w:rsidRPr="002F67B6">
        <w:rPr>
          <w:noProof/>
          <w:szCs w:val="24"/>
          <w:lang w:eastAsia="en-US"/>
        </w:rPr>
        <w:t xml:space="preserve"> integrity framework, in particular for persons with top executive functions such as Ministers, shows gaps that remain to be addressed, notably on enforcement</w:t>
      </w:r>
      <w:r w:rsidRPr="002F67B6">
        <w:rPr>
          <w:noProof/>
          <w:szCs w:val="24"/>
          <w:vertAlign w:val="superscript"/>
          <w:lang w:eastAsia="en-US"/>
        </w:rPr>
        <w:footnoteReference w:id="101"/>
      </w:r>
      <w:r w:rsidRPr="002F67B6">
        <w:rPr>
          <w:noProof/>
          <w:szCs w:val="24"/>
          <w:lang w:eastAsia="en-US"/>
        </w:rPr>
        <w:t>, as also recommended by the OECD and GRECO</w:t>
      </w:r>
      <w:r w:rsidRPr="002F67B6">
        <w:rPr>
          <w:noProof/>
          <w:szCs w:val="24"/>
          <w:vertAlign w:val="superscript"/>
          <w:lang w:eastAsia="en-US"/>
        </w:rPr>
        <w:footnoteReference w:id="102"/>
      </w:r>
      <w:r w:rsidRPr="002F67B6">
        <w:rPr>
          <w:noProof/>
          <w:szCs w:val="24"/>
          <w:lang w:eastAsia="en-US"/>
        </w:rPr>
        <w:t xml:space="preserve">. </w:t>
      </w:r>
    </w:p>
    <w:p w14:paraId="1ED5EEEA" w14:textId="77777777" w:rsidR="002F67B6" w:rsidRPr="002F67B6" w:rsidRDefault="002F67B6" w:rsidP="002F67B6">
      <w:pPr>
        <w:rPr>
          <w:noProof/>
          <w:szCs w:val="22"/>
          <w:lang w:eastAsia="en-US"/>
        </w:rPr>
      </w:pPr>
      <w:r w:rsidRPr="002F67B6">
        <w:rPr>
          <w:b/>
          <w:bCs/>
          <w:noProof/>
          <w:szCs w:val="22"/>
          <w:lang w:eastAsia="en-US"/>
        </w:rPr>
        <w:t xml:space="preserve">A digital portal to process whistleblowing reports </w:t>
      </w:r>
      <w:r w:rsidRPr="002F67B6">
        <w:rPr>
          <w:b/>
          <w:noProof/>
          <w:szCs w:val="22"/>
          <w:lang w:eastAsia="en-US"/>
        </w:rPr>
        <w:t>has become operational</w:t>
      </w:r>
      <w:r w:rsidRPr="002F67B6">
        <w:rPr>
          <w:noProof/>
          <w:szCs w:val="22"/>
          <w:lang w:eastAsia="en-US"/>
        </w:rPr>
        <w:t>.</w:t>
      </w:r>
      <w:r w:rsidRPr="002F67B6">
        <w:rPr>
          <w:b/>
          <w:bCs/>
          <w:noProof/>
          <w:szCs w:val="22"/>
          <w:lang w:eastAsia="en-US"/>
        </w:rPr>
        <w:t xml:space="preserve"> </w:t>
      </w:r>
      <w:r w:rsidRPr="002F67B6">
        <w:rPr>
          <w:noProof/>
          <w:szCs w:val="22"/>
          <w:lang w:eastAsia="en-US"/>
        </w:rPr>
        <w:t>The new digital portal allows Whistleblower Reporting Officers to access internal reports submitted by whistleblowers within the public service and to provide feedback to them</w:t>
      </w:r>
      <w:r w:rsidRPr="002F67B6">
        <w:rPr>
          <w:noProof/>
          <w:szCs w:val="22"/>
          <w:vertAlign w:val="superscript"/>
          <w:lang w:eastAsia="en-US"/>
        </w:rPr>
        <w:footnoteReference w:id="103"/>
      </w:r>
      <w:r w:rsidRPr="002F67B6">
        <w:rPr>
          <w:noProof/>
          <w:szCs w:val="22"/>
          <w:lang w:eastAsia="en-US"/>
        </w:rPr>
        <w:t>. The overall number of whistleblowing reports received, both via internal and external reporting channels, remains very low</w:t>
      </w:r>
      <w:r w:rsidRPr="002F67B6">
        <w:rPr>
          <w:noProof/>
          <w:szCs w:val="22"/>
          <w:vertAlign w:val="superscript"/>
          <w:lang w:eastAsia="en-US"/>
        </w:rPr>
        <w:footnoteReference w:id="104"/>
      </w:r>
      <w:r w:rsidRPr="002F67B6">
        <w:rPr>
          <w:noProof/>
          <w:szCs w:val="22"/>
          <w:lang w:eastAsia="en-US"/>
        </w:rPr>
        <w:t>. Both authorities and stakeholders explain this with a fear of retaliation in professional contexts and the general lack of anonymity in a small country like Malta</w:t>
      </w:r>
      <w:r w:rsidRPr="002F67B6">
        <w:rPr>
          <w:noProof/>
          <w:szCs w:val="22"/>
          <w:vertAlign w:val="superscript"/>
          <w:lang w:eastAsia="en-US"/>
        </w:rPr>
        <w:footnoteReference w:id="105"/>
      </w:r>
      <w:r w:rsidRPr="002F67B6">
        <w:rPr>
          <w:noProof/>
          <w:szCs w:val="22"/>
          <w:lang w:eastAsia="en-US"/>
        </w:rPr>
        <w:t>. While the authorities highlight that relevant information about potential ‘improper practices’ reaches them anyway via other channels</w:t>
      </w:r>
      <w:r w:rsidRPr="002F67B6">
        <w:rPr>
          <w:noProof/>
          <w:szCs w:val="22"/>
          <w:vertAlign w:val="superscript"/>
          <w:lang w:eastAsia="en-US"/>
        </w:rPr>
        <w:footnoteReference w:id="106"/>
      </w:r>
      <w:r w:rsidRPr="002F67B6">
        <w:rPr>
          <w:noProof/>
          <w:szCs w:val="22"/>
          <w:lang w:eastAsia="en-US"/>
        </w:rPr>
        <w:t>, stakeholders point to a lack of confidence in the system, also due to insufficient protection from retaliation for whistleblowers</w:t>
      </w:r>
      <w:r w:rsidRPr="002F67B6">
        <w:rPr>
          <w:noProof/>
          <w:szCs w:val="22"/>
          <w:vertAlign w:val="superscript"/>
          <w:lang w:eastAsia="en-US"/>
        </w:rPr>
        <w:footnoteReference w:id="107"/>
      </w:r>
      <w:r w:rsidRPr="002F67B6">
        <w:rPr>
          <w:noProof/>
          <w:szCs w:val="22"/>
          <w:lang w:eastAsia="en-US"/>
        </w:rPr>
        <w:t>. The Malta Police Force has improved internal reporting mechanisms and strengthened the protection of whistleblowers</w:t>
      </w:r>
      <w:r w:rsidRPr="002F67B6">
        <w:rPr>
          <w:noProof/>
          <w:szCs w:val="22"/>
          <w:vertAlign w:val="superscript"/>
          <w:lang w:eastAsia="en-US"/>
        </w:rPr>
        <w:footnoteReference w:id="108"/>
      </w:r>
      <w:r w:rsidRPr="002F67B6">
        <w:rPr>
          <w:noProof/>
          <w:szCs w:val="22"/>
          <w:lang w:eastAsia="en-US"/>
        </w:rPr>
        <w:t xml:space="preserve">. No further initiative was taken </w:t>
      </w:r>
      <w:r w:rsidRPr="002F67B6">
        <w:rPr>
          <w:noProof/>
          <w:szCs w:val="22"/>
          <w:lang w:val="en-US" w:eastAsia="en-US"/>
        </w:rPr>
        <w:t xml:space="preserve">to improve, in law and in practice, the regime for the protection of whistleblowers beyond the 2021 Whistleblowers Protection Act, as recommended by </w:t>
      </w:r>
      <w:r w:rsidRPr="002F67B6">
        <w:rPr>
          <w:noProof/>
          <w:szCs w:val="22"/>
          <w:lang w:val="en-IE" w:eastAsia="en-US"/>
        </w:rPr>
        <w:t xml:space="preserve">UN Human Rights Committee </w:t>
      </w:r>
      <w:r w:rsidRPr="002F67B6">
        <w:rPr>
          <w:noProof/>
          <w:szCs w:val="22"/>
          <w:lang w:val="en-US" w:eastAsia="en-US"/>
        </w:rPr>
        <w:t>in 2024</w:t>
      </w:r>
      <w:r w:rsidRPr="002F67B6">
        <w:rPr>
          <w:noProof/>
          <w:szCs w:val="22"/>
          <w:vertAlign w:val="superscript"/>
          <w:lang w:eastAsia="en-US"/>
        </w:rPr>
        <w:footnoteReference w:id="109"/>
      </w:r>
      <w:r w:rsidRPr="002F67B6">
        <w:rPr>
          <w:noProof/>
          <w:szCs w:val="22"/>
          <w:lang w:val="en-US" w:eastAsia="en-US"/>
        </w:rPr>
        <w:t xml:space="preserve">. </w:t>
      </w:r>
    </w:p>
    <w:p w14:paraId="103B3684" w14:textId="583243C8" w:rsidR="002F67B6" w:rsidRPr="002F67B6" w:rsidRDefault="002F67B6" w:rsidP="002F67B6">
      <w:pPr>
        <w:rPr>
          <w:b/>
          <w:bCs/>
          <w:noProof/>
          <w:szCs w:val="22"/>
          <w:lang w:eastAsia="en-US"/>
        </w:rPr>
      </w:pPr>
      <w:r w:rsidRPr="002F67B6">
        <w:rPr>
          <w:b/>
          <w:bCs/>
          <w:noProof/>
          <w:szCs w:val="22"/>
          <w:lang w:val="en-US" w:eastAsia="en-US"/>
        </w:rPr>
        <w:t>Malta has adopted legislative amendments on the granting of citizenship, following the judgment of the Court of Justice of the EU</w:t>
      </w:r>
      <w:r w:rsidRPr="002F67B6">
        <w:rPr>
          <w:b/>
          <w:bCs/>
          <w:noProof/>
          <w:szCs w:val="22"/>
          <w:lang w:eastAsia="en-US"/>
        </w:rPr>
        <w:t>.</w:t>
      </w:r>
      <w:r w:rsidRPr="002F67B6">
        <w:rPr>
          <w:noProof/>
          <w:szCs w:val="22"/>
          <w:lang w:eastAsia="en-US"/>
        </w:rPr>
        <w:t xml:space="preserve"> Following the findings of the Court of Justice </w:t>
      </w:r>
      <w:r w:rsidRPr="002F67B6">
        <w:rPr>
          <w:noProof/>
          <w:szCs w:val="22"/>
          <w:lang w:val="en-US" w:eastAsia="en-US"/>
        </w:rPr>
        <w:t xml:space="preserve">that the Maltese investor citizenship scheme was incompatible with EU law on citizenship and the principle of sincere </w:t>
      </w:r>
      <w:r w:rsidRPr="00F95823">
        <w:rPr>
          <w:noProof/>
          <w:szCs w:val="22"/>
          <w:lang w:val="en-US" w:eastAsia="en-US"/>
        </w:rPr>
        <w:t>cooperation</w:t>
      </w:r>
      <w:r w:rsidRPr="00F95823">
        <w:rPr>
          <w:noProof/>
          <w:szCs w:val="22"/>
          <w:vertAlign w:val="superscript"/>
          <w:lang w:eastAsia="en-US"/>
        </w:rPr>
        <w:footnoteReference w:id="110"/>
      </w:r>
      <w:r w:rsidRPr="00F95823">
        <w:rPr>
          <w:noProof/>
          <w:szCs w:val="22"/>
          <w:lang w:eastAsia="en-US"/>
        </w:rPr>
        <w:t xml:space="preserve">, Malta adopted </w:t>
      </w:r>
      <w:r w:rsidR="005C0959">
        <w:rPr>
          <w:noProof/>
          <w:szCs w:val="22"/>
          <w:lang w:eastAsia="en-US"/>
        </w:rPr>
        <w:t>several</w:t>
      </w:r>
      <w:r w:rsidR="0067771C" w:rsidRPr="00F95823">
        <w:rPr>
          <w:noProof/>
          <w:szCs w:val="22"/>
          <w:lang w:eastAsia="en-US"/>
        </w:rPr>
        <w:t xml:space="preserve"> </w:t>
      </w:r>
      <w:r w:rsidRPr="00F95823">
        <w:rPr>
          <w:noProof/>
          <w:szCs w:val="22"/>
          <w:lang w:eastAsia="en-US"/>
        </w:rPr>
        <w:t>legislative a</w:t>
      </w:r>
      <w:r w:rsidRPr="002F67B6">
        <w:rPr>
          <w:noProof/>
          <w:szCs w:val="22"/>
          <w:lang w:eastAsia="en-US"/>
        </w:rPr>
        <w:t>mendments on the granting of citizenship</w:t>
      </w:r>
      <w:r w:rsidRPr="005C29B0">
        <w:rPr>
          <w:noProof/>
          <w:szCs w:val="22"/>
          <w:vertAlign w:val="superscript"/>
          <w:lang w:eastAsia="en-US"/>
        </w:rPr>
        <w:footnoteReference w:id="111"/>
      </w:r>
      <w:r w:rsidRPr="005C29B0">
        <w:rPr>
          <w:noProof/>
          <w:szCs w:val="22"/>
          <w:lang w:eastAsia="en-US"/>
        </w:rPr>
        <w:t>.</w:t>
      </w:r>
    </w:p>
    <w:p w14:paraId="4AA71F93" w14:textId="2BD95E0D" w:rsidR="002F67B6" w:rsidRPr="002F67B6" w:rsidRDefault="002F67B6" w:rsidP="002F67B6">
      <w:pPr>
        <w:rPr>
          <w:rFonts w:eastAsiaTheme="minorHAnsi" w:cstheme="minorBidi"/>
          <w:noProof/>
          <w:szCs w:val="22"/>
          <w:lang w:eastAsia="en-US"/>
        </w:rPr>
      </w:pPr>
      <w:r w:rsidRPr="002F67B6">
        <w:rPr>
          <w:b/>
          <w:bCs/>
          <w:noProof/>
          <w:szCs w:val="22"/>
          <w:lang w:eastAsia="fr-FR"/>
        </w:rPr>
        <w:t xml:space="preserve">Resources for audit institutions further increased and officials in charge of tenders are now required to declare any conflict of interest, while action remains to be taken to effectively mitigate corruption in high-risk sectors such as public procurement. </w:t>
      </w:r>
      <w:r w:rsidRPr="002F67B6">
        <w:rPr>
          <w:rFonts w:eastAsia="Calibri" w:cs="Arial"/>
          <w:noProof/>
          <w:szCs w:val="22"/>
          <w:lang w:eastAsia="en-US"/>
        </w:rPr>
        <w:t>Businesses’ attitudes towards corruption in the EU shows that 49% of companies in Malta (EU average 30%) think that corruption has prevented them from winning a public tender or a public procurement contract in practice in the last three years</w:t>
      </w:r>
      <w:r w:rsidRPr="002F67B6">
        <w:rPr>
          <w:rFonts w:eastAsia="Calibri" w:cs="Arial"/>
          <w:noProof/>
          <w:szCs w:val="22"/>
          <w:vertAlign w:val="superscript"/>
          <w:lang w:eastAsia="en-US"/>
        </w:rPr>
        <w:footnoteReference w:id="112"/>
      </w:r>
      <w:r w:rsidRPr="002F67B6">
        <w:rPr>
          <w:rFonts w:eastAsia="Calibri" w:cstheme="minorBidi"/>
          <w:noProof/>
          <w:szCs w:val="22"/>
          <w:lang w:eastAsia="en-US"/>
        </w:rPr>
        <w:t xml:space="preserve">. </w:t>
      </w:r>
      <w:r w:rsidRPr="002F67B6">
        <w:rPr>
          <w:rFonts w:eastAsiaTheme="minorHAnsi" w:cstheme="minorBidi"/>
          <w:noProof/>
          <w:szCs w:val="22"/>
          <w:lang w:eastAsia="en-US"/>
        </w:rPr>
        <w:t>41% of businesses perceive the level of independence of the public procurement review body (the Public Contracts Review Board) as very or fairly good</w:t>
      </w:r>
      <w:r w:rsidRPr="002F67B6">
        <w:rPr>
          <w:rFonts w:eastAsiaTheme="minorHAnsi" w:cstheme="minorBidi"/>
          <w:noProof/>
          <w:szCs w:val="22"/>
          <w:vertAlign w:val="superscript"/>
          <w:lang w:eastAsia="en-US"/>
        </w:rPr>
        <w:footnoteReference w:id="113"/>
      </w:r>
      <w:r w:rsidRPr="002F67B6">
        <w:rPr>
          <w:rFonts w:eastAsiaTheme="minorHAnsi" w:cstheme="minorBidi"/>
          <w:noProof/>
          <w:szCs w:val="22"/>
          <w:lang w:eastAsia="en-US"/>
        </w:rPr>
        <w:t>.</w:t>
      </w:r>
      <w:r w:rsidRPr="002F67B6">
        <w:rPr>
          <w:rFonts w:eastAsia="Calibri" w:cstheme="minorBidi"/>
          <w:noProof/>
          <w:szCs w:val="22"/>
          <w:lang w:eastAsia="en-US"/>
        </w:rPr>
        <w:t xml:space="preserve"> The Single Market and Competitiveness Scoreboard on access to public procurement in Malta reports 19% of single bids for 2025 (EU average 27%). Public procurement, </w:t>
      </w:r>
      <w:r w:rsidRPr="002F67B6">
        <w:rPr>
          <w:rFonts w:eastAsiaTheme="minorHAnsi" w:cstheme="minorBidi"/>
          <w:noProof/>
          <w:szCs w:val="22"/>
          <w:lang w:eastAsia="en-US"/>
        </w:rPr>
        <w:t>in particular in the construction sector,</w:t>
      </w:r>
      <w:r w:rsidRPr="002F67B6">
        <w:rPr>
          <w:rFonts w:eastAsia="Calibri" w:cstheme="minorBidi"/>
          <w:noProof/>
          <w:szCs w:val="22"/>
          <w:lang w:eastAsia="en-US"/>
        </w:rPr>
        <w:t xml:space="preserve"> remains at high risk of corruption. Since 2025, </w:t>
      </w:r>
      <w:r w:rsidRPr="002F67B6">
        <w:rPr>
          <w:rFonts w:eastAsiaTheme="minorHAnsi" w:cstheme="minorBidi"/>
          <w:noProof/>
          <w:szCs w:val="22"/>
          <w:lang w:eastAsia="en-US"/>
        </w:rPr>
        <w:t>officials drafting procurement documents are required to declare any conflict of interest</w:t>
      </w:r>
      <w:r w:rsidRPr="002F67B6">
        <w:rPr>
          <w:rFonts w:eastAsiaTheme="minorHAnsi" w:cstheme="minorBidi"/>
          <w:noProof/>
          <w:szCs w:val="22"/>
          <w:vertAlign w:val="superscript"/>
          <w:lang w:eastAsia="en-US"/>
        </w:rPr>
        <w:footnoteReference w:id="114"/>
      </w:r>
      <w:r w:rsidRPr="002F67B6">
        <w:rPr>
          <w:rFonts w:eastAsiaTheme="minorHAnsi" w:cstheme="minorBidi"/>
          <w:noProof/>
          <w:szCs w:val="22"/>
          <w:lang w:eastAsia="en-US"/>
        </w:rPr>
        <w:t xml:space="preserve">. The resources of the National Audit Office and the Government’s </w:t>
      </w:r>
      <w:r w:rsidRPr="002F67B6">
        <w:rPr>
          <w:rFonts w:eastAsia="Calibri" w:cstheme="minorBidi"/>
          <w:noProof/>
          <w:szCs w:val="22"/>
          <w:lang w:eastAsia="en-US"/>
        </w:rPr>
        <w:t>Internal Audit and Investigations Department</w:t>
      </w:r>
      <w:r w:rsidRPr="002F67B6">
        <w:rPr>
          <w:rFonts w:eastAsia="Calibri" w:cstheme="minorBidi"/>
          <w:noProof/>
          <w:color w:val="000000"/>
          <w:szCs w:val="22"/>
          <w:lang w:eastAsia="en-US"/>
        </w:rPr>
        <w:t xml:space="preserve"> continued to increase</w:t>
      </w:r>
      <w:r w:rsidRPr="002F67B6">
        <w:rPr>
          <w:rFonts w:eastAsiaTheme="minorHAnsi" w:cstheme="minorBidi"/>
          <w:noProof/>
          <w:szCs w:val="22"/>
          <w:vertAlign w:val="superscript"/>
          <w:lang w:eastAsia="en-US"/>
        </w:rPr>
        <w:footnoteReference w:id="115"/>
      </w:r>
      <w:r w:rsidRPr="002F67B6">
        <w:rPr>
          <w:rFonts w:eastAsiaTheme="minorHAnsi" w:cstheme="minorBidi"/>
          <w:noProof/>
          <w:szCs w:val="22"/>
          <w:lang w:eastAsia="en-US"/>
        </w:rPr>
        <w:t>. While the Government does not envisage to take any targeted measures</w:t>
      </w:r>
      <w:r w:rsidRPr="002F67B6">
        <w:rPr>
          <w:rFonts w:eastAsiaTheme="minorHAnsi" w:cstheme="minorBidi"/>
          <w:noProof/>
          <w:szCs w:val="22"/>
          <w:vertAlign w:val="superscript"/>
          <w:lang w:eastAsia="en-US"/>
        </w:rPr>
        <w:footnoteReference w:id="116"/>
      </w:r>
      <w:r w:rsidRPr="002F67B6">
        <w:rPr>
          <w:rFonts w:eastAsiaTheme="minorHAnsi" w:cstheme="minorBidi"/>
          <w:noProof/>
          <w:szCs w:val="22"/>
          <w:lang w:eastAsia="en-US"/>
        </w:rPr>
        <w:t>, stakeholders continue to ask for structural changes, in particular more transparency of procurement data, independent contract review, standard operating procedures as well as effective oversight mechanisms</w:t>
      </w:r>
      <w:r w:rsidRPr="002F67B6">
        <w:rPr>
          <w:rFonts w:eastAsiaTheme="minorHAnsi" w:cstheme="minorBidi"/>
          <w:noProof/>
          <w:szCs w:val="22"/>
          <w:vertAlign w:val="superscript"/>
          <w:lang w:eastAsia="en-US"/>
        </w:rPr>
        <w:footnoteReference w:id="117"/>
      </w:r>
      <w:r w:rsidRPr="002F67B6">
        <w:rPr>
          <w:rFonts w:eastAsiaTheme="minorHAnsi" w:cstheme="minorBidi"/>
          <w:noProof/>
          <w:szCs w:val="22"/>
          <w:lang w:eastAsia="en-US"/>
        </w:rPr>
        <w:t>. Another sector at high risk of corruption is urban and spatial planning</w:t>
      </w:r>
      <w:r w:rsidRPr="002F67B6">
        <w:rPr>
          <w:rFonts w:eastAsiaTheme="minorHAnsi" w:cstheme="minorBidi"/>
          <w:noProof/>
          <w:szCs w:val="22"/>
          <w:vertAlign w:val="superscript"/>
          <w:lang w:eastAsia="en-US"/>
        </w:rPr>
        <w:footnoteReference w:id="118"/>
      </w:r>
      <w:r w:rsidRPr="002F67B6">
        <w:rPr>
          <w:rFonts w:eastAsiaTheme="minorHAnsi" w:cstheme="minorBidi"/>
          <w:noProof/>
          <w:szCs w:val="22"/>
          <w:lang w:eastAsia="en-US"/>
        </w:rPr>
        <w:t xml:space="preserve">. According to some stakeholders, corruption risks in this sector might be exacerbated </w:t>
      </w:r>
      <w:r w:rsidRPr="002F67B6">
        <w:rPr>
          <w:rFonts w:eastAsiaTheme="minorHAnsi" w:cstheme="minorBidi"/>
          <w:noProof/>
          <w:szCs w:val="22"/>
          <w:lang w:val="en-US" w:eastAsia="en-US"/>
        </w:rPr>
        <w:t>by the proposed reforms of development planning</w:t>
      </w:r>
      <w:r w:rsidRPr="002F67B6">
        <w:rPr>
          <w:rFonts w:eastAsiaTheme="minorHAnsi" w:cstheme="minorBidi"/>
          <w:noProof/>
          <w:szCs w:val="22"/>
          <w:vertAlign w:val="superscript"/>
          <w:lang w:val="en-US" w:eastAsia="en-US"/>
        </w:rPr>
        <w:footnoteReference w:id="119"/>
      </w:r>
      <w:r w:rsidR="00E4282F" w:rsidRPr="00E4282F">
        <w:rPr>
          <w:rFonts w:eastAsiaTheme="minorHAnsi" w:cstheme="minorBidi"/>
          <w:noProof/>
          <w:szCs w:val="22"/>
          <w:lang w:val="en-US" w:eastAsia="en-US"/>
        </w:rPr>
        <w:t>.</w:t>
      </w:r>
    </w:p>
    <w:p w14:paraId="08731808" w14:textId="03924ABB" w:rsidR="002F67B6" w:rsidRPr="0071761B" w:rsidRDefault="002F67B6" w:rsidP="00C76A32">
      <w:pPr>
        <w:pStyle w:val="ListParagraph"/>
        <w:keepNext/>
        <w:numPr>
          <w:ilvl w:val="0"/>
          <w:numId w:val="40"/>
        </w:numPr>
        <w:outlineLvl w:val="0"/>
        <w:rPr>
          <w:b/>
          <w:smallCaps/>
          <w:noProof/>
          <w:szCs w:val="24"/>
          <w:u w:val="single"/>
          <w:lang w:eastAsia="fr-FR"/>
        </w:rPr>
      </w:pPr>
      <w:r w:rsidRPr="0071761B">
        <w:rPr>
          <w:b/>
          <w:smallCaps/>
          <w:noProof/>
          <w:szCs w:val="24"/>
          <w:u w:val="single"/>
          <w:lang w:eastAsia="fr-FR"/>
        </w:rPr>
        <w:t>Media Pluralism and Media Freedom</w:t>
      </w:r>
    </w:p>
    <w:p w14:paraId="426DA547" w14:textId="46532E5B" w:rsidR="002F67B6" w:rsidRPr="002F67B6" w:rsidRDefault="002F67B6" w:rsidP="002F67B6">
      <w:pPr>
        <w:rPr>
          <w:noProof/>
          <w:szCs w:val="22"/>
          <w:lang w:eastAsia="fr-FR"/>
        </w:rPr>
      </w:pPr>
      <w:r w:rsidRPr="002F67B6">
        <w:rPr>
          <w:b/>
          <w:bCs/>
          <w:noProof/>
          <w:szCs w:val="22"/>
          <w:lang w:eastAsia="fr-FR"/>
        </w:rPr>
        <w:t xml:space="preserve">Legislation was adopted </w:t>
      </w:r>
      <w:r w:rsidRPr="002F67B6">
        <w:rPr>
          <w:b/>
          <w:bCs/>
          <w:noProof/>
          <w:szCs w:val="22"/>
          <w:lang w:val="en-US" w:eastAsia="fr-FR"/>
        </w:rPr>
        <w:t>providing</w:t>
      </w:r>
      <w:r w:rsidRPr="002F67B6">
        <w:rPr>
          <w:b/>
          <w:bCs/>
          <w:noProof/>
          <w:szCs w:val="22"/>
          <w:lang w:eastAsia="fr-FR"/>
        </w:rPr>
        <w:t xml:space="preserve"> the media regulator with new competences</w:t>
      </w:r>
      <w:r w:rsidRPr="002F67B6">
        <w:rPr>
          <w:noProof/>
          <w:szCs w:val="22"/>
          <w:lang w:eastAsia="fr-FR"/>
        </w:rPr>
        <w:t xml:space="preserve">. With a view to alignment with the European Media Freedom Act, in August 2025, the Government adopted </w:t>
      </w:r>
      <w:r w:rsidRPr="002F67B6">
        <w:rPr>
          <w:rFonts w:eastAsiaTheme="minorHAnsi" w:cstheme="minorBidi"/>
          <w:noProof/>
          <w:szCs w:val="22"/>
          <w:lang w:val="en-US" w:eastAsia="en-US"/>
        </w:rPr>
        <w:t>Legal Notice 175</w:t>
      </w:r>
      <w:r w:rsidRPr="002F67B6">
        <w:rPr>
          <w:noProof/>
          <w:szCs w:val="22"/>
          <w:vertAlign w:val="superscript"/>
          <w:lang w:eastAsia="fr-FR"/>
        </w:rPr>
        <w:footnoteReference w:id="120"/>
      </w:r>
      <w:r w:rsidRPr="002F67B6">
        <w:rPr>
          <w:noProof/>
          <w:szCs w:val="22"/>
          <w:lang w:eastAsia="fr-FR"/>
        </w:rPr>
        <w:t>. The legislation bestows new responsibilities on the Broadcasting Authority, Malta’s media regulator, including scrutiny of mergers in the media market and an enhanced monitoring role over public service media. The legislation also establishes a separate Office for Advertising and Media which will, among other tasks, ensure that the relevant public authorities or entities make available to it information on state advertising expenditure on an annual basis. It also tasks the Media Registrar, an entity established under the Media and Defamation Act, with developing a national media ownership database. While awaiting implementation of the above-mentioned provisions, the Media Pluralism Monitor (MPM) 2026 concludes medium-low risk in relation to the independence of the media regulator</w:t>
      </w:r>
      <w:r w:rsidRPr="002F67B6">
        <w:rPr>
          <w:noProof/>
          <w:szCs w:val="22"/>
          <w:vertAlign w:val="superscript"/>
          <w:lang w:eastAsia="fr-FR"/>
        </w:rPr>
        <w:footnoteReference w:id="121"/>
      </w:r>
      <w:r w:rsidRPr="002F67B6">
        <w:rPr>
          <w:noProof/>
          <w:szCs w:val="22"/>
          <w:lang w:eastAsia="fr-FR"/>
        </w:rPr>
        <w:t>, medium-high risk in relation to the transparent allocation of state advertising</w:t>
      </w:r>
      <w:r w:rsidRPr="002F67B6">
        <w:rPr>
          <w:noProof/>
          <w:szCs w:val="22"/>
          <w:vertAlign w:val="superscript"/>
          <w:lang w:eastAsia="fr-FR"/>
        </w:rPr>
        <w:footnoteReference w:id="122"/>
      </w:r>
      <w:r w:rsidRPr="002F67B6">
        <w:rPr>
          <w:noProof/>
          <w:szCs w:val="22"/>
          <w:lang w:eastAsia="fr-FR"/>
        </w:rPr>
        <w:t xml:space="preserve"> and very high risk in the area of media ownership transparency</w:t>
      </w:r>
      <w:r w:rsidRPr="002F67B6">
        <w:rPr>
          <w:noProof/>
          <w:szCs w:val="22"/>
          <w:vertAlign w:val="superscript"/>
          <w:lang w:eastAsia="fr-FR"/>
        </w:rPr>
        <w:footnoteReference w:id="123"/>
      </w:r>
      <w:r w:rsidRPr="002F67B6">
        <w:rPr>
          <w:noProof/>
          <w:szCs w:val="22"/>
          <w:lang w:eastAsia="fr-FR"/>
        </w:rPr>
        <w:t>.</w:t>
      </w:r>
    </w:p>
    <w:p w14:paraId="036A5B61" w14:textId="56E267EE" w:rsidR="002F67B6" w:rsidRPr="002F67B6" w:rsidRDefault="002F67B6" w:rsidP="002F67B6">
      <w:pPr>
        <w:rPr>
          <w:noProof/>
          <w:szCs w:val="22"/>
          <w:lang w:eastAsia="fr-FR"/>
        </w:rPr>
      </w:pPr>
      <w:r w:rsidRPr="002F67B6">
        <w:rPr>
          <w:b/>
          <w:bCs/>
          <w:noProof/>
          <w:szCs w:val="22"/>
          <w:lang w:eastAsia="fr-FR"/>
        </w:rPr>
        <w:t>Legislation has been enacted to enhance certain aspects of the independent governance of public service media, while various challenges persist</w:t>
      </w:r>
      <w:r w:rsidRPr="002F67B6">
        <w:rPr>
          <w:b/>
          <w:bCs/>
          <w:noProof/>
          <w:szCs w:val="22"/>
          <w:vertAlign w:val="superscript"/>
          <w:lang w:eastAsia="fr-FR"/>
        </w:rPr>
        <w:footnoteReference w:id="124"/>
      </w:r>
      <w:r w:rsidRPr="002F67B6">
        <w:rPr>
          <w:noProof/>
          <w:szCs w:val="22"/>
          <w:lang w:eastAsia="fr-FR"/>
        </w:rPr>
        <w:t xml:space="preserve">. The final report of the Committee of Media Experts </w:t>
      </w:r>
      <w:r w:rsidR="00F0140B">
        <w:rPr>
          <w:noProof/>
          <w:szCs w:val="22"/>
          <w:lang w:eastAsia="fr-FR"/>
        </w:rPr>
        <w:t xml:space="preserve">had </w:t>
      </w:r>
      <w:r w:rsidRPr="002F67B6">
        <w:rPr>
          <w:noProof/>
          <w:szCs w:val="22"/>
          <w:lang w:eastAsia="fr-FR"/>
        </w:rPr>
        <w:t xml:space="preserve">recommended setting up an </w:t>
      </w:r>
      <w:r w:rsidRPr="002F67B6">
        <w:rPr>
          <w:i/>
          <w:iCs/>
          <w:noProof/>
          <w:szCs w:val="22"/>
          <w:lang w:eastAsia="fr-FR"/>
        </w:rPr>
        <w:t>ad hoc</w:t>
      </w:r>
      <w:r w:rsidRPr="002F67B6">
        <w:rPr>
          <w:noProof/>
          <w:szCs w:val="22"/>
          <w:lang w:eastAsia="fr-FR"/>
        </w:rPr>
        <w:t xml:space="preserve"> committee to propose measures to ensure the objectivity, independence, impartiality, and accountability of public broadcasting</w:t>
      </w:r>
      <w:r w:rsidRPr="002F67B6">
        <w:rPr>
          <w:noProof/>
          <w:szCs w:val="22"/>
          <w:vertAlign w:val="superscript"/>
          <w:lang w:eastAsia="fr-FR"/>
        </w:rPr>
        <w:footnoteReference w:id="125"/>
      </w:r>
      <w:r w:rsidRPr="002F67B6">
        <w:rPr>
          <w:noProof/>
          <w:szCs w:val="22"/>
          <w:lang w:eastAsia="fr-FR"/>
        </w:rPr>
        <w:t xml:space="preserve">. The Government has introduced provisions to </w:t>
      </w:r>
      <w:r w:rsidR="00036592">
        <w:rPr>
          <w:noProof/>
          <w:szCs w:val="22"/>
          <w:lang w:eastAsia="fr-FR"/>
        </w:rPr>
        <w:t xml:space="preserve">directly </w:t>
      </w:r>
      <w:r w:rsidRPr="002F67B6">
        <w:rPr>
          <w:noProof/>
          <w:szCs w:val="22"/>
          <w:lang w:eastAsia="fr-FR"/>
        </w:rPr>
        <w:t>regulate the matter through Legal Notice 175</w:t>
      </w:r>
      <w:r w:rsidRPr="002F67B6">
        <w:rPr>
          <w:noProof/>
          <w:szCs w:val="22"/>
          <w:vertAlign w:val="superscript"/>
          <w:lang w:eastAsia="fr-FR"/>
        </w:rPr>
        <w:footnoteReference w:id="126"/>
      </w:r>
      <w:r w:rsidRPr="002F67B6">
        <w:rPr>
          <w:noProof/>
          <w:szCs w:val="22"/>
          <w:lang w:eastAsia="fr-FR"/>
        </w:rPr>
        <w:t xml:space="preserve"> with a view to aligning with EMFA, including safeguards relating to the appointment and dismissal procedures of the chief executive officer of the public service media provider and the dismissal of the members of the management board. The procedures for the appointment of members of the management board and the financing of public service media remain unregulated. Furthermore, safeguards to ensure editorial independence have not been put in place</w:t>
      </w:r>
      <w:r w:rsidRPr="002F67B6">
        <w:rPr>
          <w:noProof/>
          <w:szCs w:val="22"/>
          <w:vertAlign w:val="superscript"/>
          <w:lang w:eastAsia="fr-FR"/>
        </w:rPr>
        <w:footnoteReference w:id="127"/>
      </w:r>
      <w:r w:rsidRPr="002F67B6">
        <w:rPr>
          <w:noProof/>
          <w:szCs w:val="22"/>
          <w:lang w:eastAsia="fr-FR"/>
        </w:rPr>
        <w:t>. The MPM continues to consider the independence of public service media to be an area presenting very high risk in Malta - which it confirms again, highlighting political appointments, financing and spending issues and the broadcaster’s failure to cover various issues of wide public interest</w:t>
      </w:r>
      <w:r w:rsidRPr="002F67B6">
        <w:rPr>
          <w:noProof/>
          <w:szCs w:val="22"/>
          <w:vertAlign w:val="superscript"/>
          <w:lang w:eastAsia="fr-FR"/>
        </w:rPr>
        <w:footnoteReference w:id="128"/>
      </w:r>
      <w:r w:rsidRPr="002F67B6">
        <w:rPr>
          <w:noProof/>
          <w:szCs w:val="22"/>
          <w:lang w:eastAsia="fr-FR"/>
        </w:rPr>
        <w:t xml:space="preserve">.Therefore, given that legislation has addressed some aspects but various challenges persist, some progress has been made on the recommendation to enhance the independent governance and editorial independence of public service media. </w:t>
      </w:r>
    </w:p>
    <w:p w14:paraId="24140F5B" w14:textId="0F15802D" w:rsidR="003F73DA" w:rsidRDefault="002F67B6" w:rsidP="002F67B6">
      <w:pPr>
        <w:rPr>
          <w:noProof/>
          <w:szCs w:val="22"/>
          <w:lang w:eastAsia="fr-FR"/>
        </w:rPr>
      </w:pPr>
      <w:r w:rsidRPr="002F67B6">
        <w:rPr>
          <w:b/>
          <w:noProof/>
          <w:szCs w:val="22"/>
          <w:lang w:eastAsia="fr-FR"/>
        </w:rPr>
        <w:t>There has been limited</w:t>
      </w:r>
      <w:r w:rsidRPr="002F67B6">
        <w:rPr>
          <w:b/>
          <w:noProof/>
          <w:szCs w:val="24"/>
          <w:lang w:eastAsia="fr-FR"/>
        </w:rPr>
        <w:t xml:space="preserve"> p</w:t>
      </w:r>
      <w:r w:rsidRPr="002F67B6">
        <w:rPr>
          <w:b/>
          <w:noProof/>
          <w:szCs w:val="22"/>
          <w:lang w:eastAsia="fr-FR"/>
        </w:rPr>
        <w:t>rogress with regard to the recommendation to adopt safeguards to improve access to official documents in the light of the coming into operation of an online management system</w:t>
      </w:r>
      <w:r w:rsidRPr="002F67B6">
        <w:rPr>
          <w:b/>
          <w:noProof/>
          <w:szCs w:val="22"/>
          <w:vertAlign w:val="superscript"/>
          <w:lang w:eastAsia="fr-FR"/>
        </w:rPr>
        <w:footnoteReference w:id="129"/>
      </w:r>
      <w:r w:rsidRPr="002F67B6">
        <w:rPr>
          <w:noProof/>
          <w:szCs w:val="22"/>
          <w:lang w:eastAsia="fr-FR"/>
        </w:rPr>
        <w:t>. An integrated e-management system, designed to enhance the processing, accessibility and transparency of access to documents requests, became operational in August 2025</w:t>
      </w:r>
      <w:r w:rsidRPr="002F67B6">
        <w:rPr>
          <w:noProof/>
          <w:szCs w:val="22"/>
          <w:vertAlign w:val="superscript"/>
          <w:lang w:eastAsia="fr-FR"/>
        </w:rPr>
        <w:footnoteReference w:id="130"/>
      </w:r>
      <w:r w:rsidRPr="002F67B6">
        <w:rPr>
          <w:noProof/>
          <w:szCs w:val="22"/>
          <w:lang w:eastAsia="fr-FR"/>
        </w:rPr>
        <w:t>. The Information and Data Protection Commissioner confirmed that, following the resolution of initial technical interface problems also highlighted by stakeholders</w:t>
      </w:r>
      <w:r w:rsidRPr="002F67B6">
        <w:rPr>
          <w:noProof/>
          <w:szCs w:val="22"/>
          <w:vertAlign w:val="superscript"/>
          <w:lang w:eastAsia="fr-FR"/>
        </w:rPr>
        <w:footnoteReference w:id="131"/>
      </w:r>
      <w:r w:rsidRPr="002F67B6">
        <w:rPr>
          <w:noProof/>
          <w:szCs w:val="22"/>
          <w:lang w:eastAsia="fr-FR"/>
        </w:rPr>
        <w:t>, the system presents advantages for users in terms of clearer follow-up to requests as well as for monitoring purposes</w:t>
      </w:r>
      <w:r w:rsidRPr="002F67B6">
        <w:rPr>
          <w:noProof/>
          <w:szCs w:val="22"/>
          <w:vertAlign w:val="superscript"/>
          <w:lang w:eastAsia="fr-FR"/>
        </w:rPr>
        <w:footnoteReference w:id="132"/>
      </w:r>
      <w:r w:rsidRPr="002F67B6">
        <w:rPr>
          <w:noProof/>
          <w:szCs w:val="22"/>
          <w:lang w:eastAsia="fr-FR"/>
        </w:rPr>
        <w:t>. However, there are still no plans to adopt safeguards to further improve access to documents either via a review of the Freedom of Information Act or by means of a review of its implementation in practice. Civil society and journalists continue to report that they face numerous obstacles in accessing public information</w:t>
      </w:r>
      <w:r w:rsidRPr="002F67B6">
        <w:rPr>
          <w:noProof/>
          <w:szCs w:val="22"/>
          <w:vertAlign w:val="superscript"/>
          <w:lang w:eastAsia="fr-FR"/>
        </w:rPr>
        <w:footnoteReference w:id="133"/>
      </w:r>
      <w:r w:rsidRPr="002F67B6">
        <w:rPr>
          <w:noProof/>
          <w:szCs w:val="22"/>
          <w:lang w:eastAsia="fr-FR"/>
        </w:rPr>
        <w:t>. In the light of these remaining challenges and the persistent lack of transparency and ongoing attempts to further diminish transparency, MPM has raised its risk score for this area from high risk to very high risk</w:t>
      </w:r>
      <w:r w:rsidRPr="002F67B6">
        <w:rPr>
          <w:noProof/>
          <w:szCs w:val="22"/>
          <w:vertAlign w:val="superscript"/>
          <w:lang w:eastAsia="fr-FR"/>
        </w:rPr>
        <w:footnoteReference w:id="134"/>
      </w:r>
      <w:r w:rsidRPr="002F67B6">
        <w:rPr>
          <w:noProof/>
          <w:szCs w:val="22"/>
          <w:lang w:eastAsia="fr-FR"/>
        </w:rPr>
        <w:t>. Overall, limited progress has been made on this part of the recommendation.</w:t>
      </w:r>
    </w:p>
    <w:p w14:paraId="1840B62C" w14:textId="16095314" w:rsidR="002F67B6" w:rsidRPr="002F67B6" w:rsidRDefault="002F67B6" w:rsidP="002F67B6">
      <w:pPr>
        <w:rPr>
          <w:noProof/>
          <w:szCs w:val="22"/>
          <w:lang w:eastAsia="fr-FR"/>
        </w:rPr>
      </w:pPr>
      <w:r w:rsidRPr="002F67B6">
        <w:rPr>
          <w:b/>
          <w:bCs/>
          <w:noProof/>
          <w:szCs w:val="22"/>
          <w:lang w:eastAsia="fr-FR"/>
        </w:rPr>
        <w:t xml:space="preserve">While certain safeguards have been introduced, there has been limited progress on </w:t>
      </w:r>
      <w:r w:rsidRPr="002F67B6">
        <w:rPr>
          <w:rFonts w:eastAsiaTheme="minorHAnsi" w:cstheme="minorBidi"/>
          <w:b/>
          <w:bCs/>
          <w:noProof/>
          <w:szCs w:val="22"/>
          <w:lang w:eastAsia="fr-FR"/>
        </w:rPr>
        <w:t>adopting legislative and other safeguards to improve the working environment of journalists, as</w:t>
      </w:r>
      <w:r w:rsidRPr="002F67B6">
        <w:rPr>
          <w:noProof/>
          <w:szCs w:val="22"/>
          <w:lang w:eastAsia="fr-FR"/>
        </w:rPr>
        <w:t xml:space="preserve"> </w:t>
      </w:r>
      <w:r w:rsidRPr="002F67B6">
        <w:rPr>
          <w:b/>
          <w:bCs/>
          <w:noProof/>
          <w:szCs w:val="22"/>
          <w:lang w:eastAsia="fr-FR"/>
        </w:rPr>
        <w:t>broader</w:t>
      </w:r>
      <w:r w:rsidRPr="002F67B6">
        <w:rPr>
          <w:noProof/>
          <w:szCs w:val="22"/>
          <w:lang w:eastAsia="fr-FR"/>
        </w:rPr>
        <w:t xml:space="preserve"> </w:t>
      </w:r>
      <w:r w:rsidRPr="002F67B6">
        <w:rPr>
          <w:b/>
          <w:bCs/>
          <w:noProof/>
          <w:szCs w:val="22"/>
          <w:lang w:eastAsia="fr-FR"/>
        </w:rPr>
        <w:t xml:space="preserve">legislative reforms remain </w:t>
      </w:r>
      <w:r w:rsidRPr="00A146FD">
        <w:rPr>
          <w:b/>
          <w:bCs/>
          <w:noProof/>
          <w:szCs w:val="22"/>
          <w:lang w:eastAsia="fr-FR"/>
        </w:rPr>
        <w:t>pending</w:t>
      </w:r>
      <w:r w:rsidRPr="00A146FD">
        <w:rPr>
          <w:noProof/>
          <w:szCs w:val="22"/>
          <w:vertAlign w:val="superscript"/>
          <w:lang w:eastAsia="fr-FR"/>
        </w:rPr>
        <w:footnoteReference w:id="135"/>
      </w:r>
      <w:r w:rsidRPr="00A146FD">
        <w:rPr>
          <w:noProof/>
          <w:szCs w:val="22"/>
          <w:lang w:eastAsia="fr-FR"/>
        </w:rPr>
        <w:t xml:space="preserve">. </w:t>
      </w:r>
      <w:r w:rsidR="00E93FE7" w:rsidRPr="00A146FD">
        <w:rPr>
          <w:noProof/>
          <w:szCs w:val="22"/>
          <w:lang w:val="en-IE" w:eastAsia="fr-FR"/>
        </w:rPr>
        <w:t>No</w:t>
      </w:r>
      <w:r w:rsidRPr="00A146FD">
        <w:rPr>
          <w:noProof/>
          <w:szCs w:val="22"/>
          <w:lang w:val="en-IE" w:eastAsia="fr-FR"/>
        </w:rPr>
        <w:t xml:space="preserve"> new </w:t>
      </w:r>
      <w:r w:rsidR="00830756" w:rsidRPr="00A146FD">
        <w:rPr>
          <w:noProof/>
          <w:szCs w:val="22"/>
          <w:lang w:val="en-IE" w:eastAsia="fr-FR"/>
        </w:rPr>
        <w:t xml:space="preserve">strategic lawsuits against public participation </w:t>
      </w:r>
      <w:r w:rsidR="00BF435D" w:rsidRPr="00352C6F">
        <w:rPr>
          <w:noProof/>
          <w:szCs w:val="22"/>
          <w:lang w:val="en-IE" w:eastAsia="fr-FR"/>
        </w:rPr>
        <w:t>(</w:t>
      </w:r>
      <w:r w:rsidR="000D130A" w:rsidRPr="00A146FD">
        <w:rPr>
          <w:noProof/>
          <w:szCs w:val="22"/>
          <w:lang w:val="en-IE" w:eastAsia="fr-FR"/>
        </w:rPr>
        <w:t>SLAPP</w:t>
      </w:r>
      <w:r w:rsidR="00BF435D" w:rsidRPr="00352C6F">
        <w:rPr>
          <w:noProof/>
          <w:szCs w:val="22"/>
          <w:lang w:val="en-IE" w:eastAsia="fr-FR"/>
        </w:rPr>
        <w:t>)</w:t>
      </w:r>
      <w:r w:rsidR="000D130A" w:rsidRPr="00A146FD">
        <w:rPr>
          <w:noProof/>
          <w:szCs w:val="22"/>
          <w:lang w:val="en-IE" w:eastAsia="fr-FR"/>
        </w:rPr>
        <w:t xml:space="preserve"> </w:t>
      </w:r>
      <w:r w:rsidRPr="00A146FD">
        <w:rPr>
          <w:noProof/>
          <w:szCs w:val="22"/>
          <w:lang w:val="en-IE" w:eastAsia="fr-FR"/>
        </w:rPr>
        <w:t>cases have been reported in 2025</w:t>
      </w:r>
      <w:r w:rsidRPr="00A146FD">
        <w:rPr>
          <w:noProof/>
          <w:szCs w:val="22"/>
          <w:vertAlign w:val="superscript"/>
          <w:lang w:eastAsia="fr-FR"/>
        </w:rPr>
        <w:footnoteReference w:id="136"/>
      </w:r>
      <w:r w:rsidR="00830756" w:rsidRPr="00A146FD">
        <w:rPr>
          <w:noProof/>
          <w:szCs w:val="22"/>
          <w:lang w:val="en-IE" w:eastAsia="fr-FR"/>
        </w:rPr>
        <w:t xml:space="preserve">, although stakeholders continue to flag </w:t>
      </w:r>
      <w:r w:rsidR="00934636" w:rsidRPr="00A146FD">
        <w:rPr>
          <w:noProof/>
          <w:szCs w:val="22"/>
          <w:lang w:val="en-IE" w:eastAsia="fr-FR"/>
        </w:rPr>
        <w:t>the threat of SLAPPs for journalists</w:t>
      </w:r>
      <w:r w:rsidR="00830756" w:rsidRPr="00A146FD">
        <w:rPr>
          <w:noProof/>
          <w:szCs w:val="22"/>
          <w:vertAlign w:val="superscript"/>
          <w:lang w:eastAsia="fr-FR"/>
        </w:rPr>
        <w:footnoteReference w:id="137"/>
      </w:r>
      <w:r w:rsidR="00830756" w:rsidRPr="00A146FD">
        <w:rPr>
          <w:noProof/>
          <w:szCs w:val="22"/>
          <w:lang w:val="en-IE" w:eastAsia="fr-FR"/>
        </w:rPr>
        <w:t>.</w:t>
      </w:r>
      <w:r w:rsidR="00830756" w:rsidRPr="002F67B6">
        <w:rPr>
          <w:noProof/>
          <w:szCs w:val="22"/>
          <w:lang w:val="en-IE" w:eastAsia="fr-FR"/>
        </w:rPr>
        <w:t xml:space="preserve"> </w:t>
      </w:r>
      <w:r w:rsidRPr="002F67B6">
        <w:rPr>
          <w:noProof/>
          <w:szCs w:val="22"/>
          <w:lang w:eastAsia="fr-FR"/>
        </w:rPr>
        <w:t>Malta has previously adopted legislation aiming to t</w:t>
      </w:r>
      <w:r w:rsidRPr="002F67B6">
        <w:rPr>
          <w:noProof/>
          <w:szCs w:val="22"/>
          <w:lang w:val="en-IE" w:eastAsia="fr-FR"/>
        </w:rPr>
        <w:t xml:space="preserve">ranspose the anti-SLAPP Directive, </w:t>
      </w:r>
      <w:r w:rsidRPr="002F67B6">
        <w:rPr>
          <w:noProof/>
          <w:szCs w:val="22"/>
          <w:lang w:eastAsia="fr-FR"/>
        </w:rPr>
        <w:t xml:space="preserve">covering </w:t>
      </w:r>
      <w:r w:rsidRPr="002F67B6">
        <w:rPr>
          <w:noProof/>
          <w:szCs w:val="22"/>
          <w:lang w:val="en-IE" w:eastAsia="fr-FR"/>
        </w:rPr>
        <w:t>cross-border cases</w:t>
      </w:r>
      <w:r w:rsidRPr="002F67B6">
        <w:rPr>
          <w:noProof/>
          <w:szCs w:val="22"/>
          <w:vertAlign w:val="superscript"/>
          <w:lang w:eastAsia="fr-FR"/>
        </w:rPr>
        <w:footnoteReference w:id="138"/>
      </w:r>
      <w:r w:rsidRPr="002F67B6">
        <w:rPr>
          <w:noProof/>
          <w:szCs w:val="22"/>
          <w:lang w:val="en-IE" w:eastAsia="fr-FR"/>
        </w:rPr>
        <w:t xml:space="preserve">. </w:t>
      </w:r>
      <w:r w:rsidRPr="002F67B6">
        <w:rPr>
          <w:noProof/>
          <w:szCs w:val="22"/>
          <w:lang w:eastAsia="fr-FR"/>
        </w:rPr>
        <w:t>The</w:t>
      </w:r>
      <w:r w:rsidRPr="002F67B6">
        <w:rPr>
          <w:noProof/>
          <w:szCs w:val="22"/>
          <w:lang w:val="en-IE" w:eastAsia="fr-FR"/>
        </w:rPr>
        <w:t xml:space="preserve"> Government had announced it would examine the possibility of extending protection against SLAPPs also to domestic cases</w:t>
      </w:r>
      <w:r w:rsidRPr="002F67B6">
        <w:rPr>
          <w:noProof/>
          <w:szCs w:val="22"/>
          <w:vertAlign w:val="superscript"/>
          <w:lang w:eastAsia="fr-FR"/>
        </w:rPr>
        <w:footnoteReference w:id="139"/>
      </w:r>
      <w:r w:rsidRPr="002F67B6">
        <w:rPr>
          <w:noProof/>
          <w:szCs w:val="22"/>
          <w:lang w:val="en-IE" w:eastAsia="fr-FR"/>
        </w:rPr>
        <w:t>, but this was not taken forward by the end of the legislature</w:t>
      </w:r>
      <w:r w:rsidRPr="002F67B6">
        <w:rPr>
          <w:noProof/>
          <w:szCs w:val="22"/>
          <w:vertAlign w:val="superscript"/>
          <w:lang w:eastAsia="fr-FR"/>
        </w:rPr>
        <w:footnoteReference w:id="140"/>
      </w:r>
      <w:r w:rsidRPr="002F67B6">
        <w:rPr>
          <w:noProof/>
          <w:szCs w:val="22"/>
          <w:lang w:val="en-IE" w:eastAsia="fr-FR"/>
        </w:rPr>
        <w:t xml:space="preserve">. </w:t>
      </w:r>
      <w:r w:rsidRPr="002F67B6">
        <w:rPr>
          <w:noProof/>
          <w:szCs w:val="22"/>
          <w:lang w:eastAsia="fr-FR"/>
        </w:rPr>
        <w:t>After lengthy delays</w:t>
      </w:r>
      <w:r w:rsidRPr="002F67B6">
        <w:rPr>
          <w:noProof/>
          <w:szCs w:val="22"/>
          <w:vertAlign w:val="superscript"/>
          <w:lang w:eastAsia="fr-FR"/>
        </w:rPr>
        <w:footnoteReference w:id="141"/>
      </w:r>
      <w:r w:rsidRPr="002F67B6">
        <w:rPr>
          <w:noProof/>
          <w:szCs w:val="22"/>
          <w:lang w:eastAsia="fr-FR"/>
        </w:rPr>
        <w:t>, a public consultation on media reform was conducted between August and October 2025</w:t>
      </w:r>
      <w:r w:rsidRPr="002F67B6">
        <w:rPr>
          <w:noProof/>
          <w:szCs w:val="22"/>
          <w:vertAlign w:val="superscript"/>
          <w:lang w:eastAsia="fr-FR"/>
        </w:rPr>
        <w:footnoteReference w:id="142"/>
      </w:r>
      <w:r w:rsidRPr="002F67B6">
        <w:rPr>
          <w:noProof/>
          <w:szCs w:val="22"/>
          <w:lang w:eastAsia="fr-FR"/>
        </w:rPr>
        <w:t>. On that basis, in March 2026, the Government brought back on the Parliament’s agenda a number of bills, which however were not discussed by the end of the legislature</w:t>
      </w:r>
      <w:r w:rsidRPr="002F67B6">
        <w:rPr>
          <w:noProof/>
          <w:szCs w:val="22"/>
          <w:vertAlign w:val="superscript"/>
          <w:lang w:eastAsia="fr-FR"/>
        </w:rPr>
        <w:footnoteReference w:id="143"/>
      </w:r>
      <w:r w:rsidRPr="002F67B6">
        <w:rPr>
          <w:noProof/>
          <w:szCs w:val="22"/>
          <w:lang w:eastAsia="fr-FR"/>
        </w:rPr>
        <w:t>. In the meantime, Legal Notice 175 introduced certain safeguards for journalists in relation to protection of sources and confidential communications, protection against surveillance and a ban on intrusive surveillance software</w:t>
      </w:r>
      <w:r w:rsidRPr="002F67B6">
        <w:rPr>
          <w:noProof/>
          <w:szCs w:val="22"/>
          <w:vertAlign w:val="superscript"/>
          <w:lang w:eastAsia="fr-FR"/>
        </w:rPr>
        <w:footnoteReference w:id="144"/>
      </w:r>
      <w:r w:rsidRPr="002F67B6">
        <w:rPr>
          <w:noProof/>
          <w:szCs w:val="22"/>
          <w:lang w:eastAsia="fr-FR"/>
        </w:rPr>
        <w:t xml:space="preserve">. MPM 2026 considers this to be an area still presenting medium-high risk in the light of, among others, the Government’s failure to implement the recommendations proposed by the Caruana Galizia public inquiry report and the continued vilification of the journalist after her death </w:t>
      </w:r>
      <w:r w:rsidRPr="002F67B6">
        <w:rPr>
          <w:noProof/>
          <w:szCs w:val="22"/>
          <w:vertAlign w:val="superscript"/>
          <w:lang w:eastAsia="fr-FR"/>
        </w:rPr>
        <w:footnoteReference w:id="145"/>
      </w:r>
      <w:r w:rsidRPr="002F67B6">
        <w:rPr>
          <w:noProof/>
          <w:szCs w:val="22"/>
          <w:lang w:eastAsia="fr-FR"/>
        </w:rPr>
        <w:t xml:space="preserve">. There has been no conviction to date </w:t>
      </w:r>
      <w:r w:rsidRPr="002F67B6" w:rsidDel="008B7B56">
        <w:rPr>
          <w:noProof/>
          <w:szCs w:val="22"/>
          <w:lang w:eastAsia="fr-FR"/>
        </w:rPr>
        <w:t xml:space="preserve">for the presumed mastermind </w:t>
      </w:r>
      <w:r w:rsidRPr="002F67B6">
        <w:rPr>
          <w:noProof/>
          <w:szCs w:val="22"/>
          <w:lang w:eastAsia="fr-FR"/>
        </w:rPr>
        <w:t>in the case of the assassination of Daphne Caruana Galizia</w:t>
      </w:r>
      <w:r w:rsidRPr="002F67B6">
        <w:rPr>
          <w:noProof/>
          <w:szCs w:val="22"/>
          <w:vertAlign w:val="superscript"/>
          <w:lang w:eastAsia="fr-FR"/>
        </w:rPr>
        <w:footnoteReference w:id="146"/>
      </w:r>
      <w:r w:rsidRPr="002F67B6">
        <w:rPr>
          <w:noProof/>
          <w:szCs w:val="22"/>
          <w:lang w:eastAsia="fr-FR"/>
        </w:rPr>
        <w:t>. The Council of Europe Platform to promote the protection of journalism and the safety of journalists reported no new alert</w:t>
      </w:r>
      <w:r w:rsidRPr="002F67B6">
        <w:rPr>
          <w:noProof/>
          <w:szCs w:val="22"/>
          <w:vertAlign w:val="superscript"/>
          <w:lang w:eastAsia="fr-FR"/>
        </w:rPr>
        <w:footnoteReference w:id="147"/>
      </w:r>
      <w:r w:rsidRPr="002F67B6">
        <w:rPr>
          <w:noProof/>
          <w:szCs w:val="22"/>
          <w:lang w:eastAsia="fr-FR"/>
        </w:rPr>
        <w:t>. The Media Freedom Rapid Response mechanism registered five new alerts</w:t>
      </w:r>
      <w:r w:rsidR="0073301C">
        <w:rPr>
          <w:noProof/>
          <w:szCs w:val="22"/>
          <w:lang w:eastAsia="fr-FR"/>
        </w:rPr>
        <w:t>, including</w:t>
      </w:r>
      <w:r w:rsidRPr="002F67B6">
        <w:rPr>
          <w:noProof/>
          <w:szCs w:val="22"/>
          <w:lang w:eastAsia="fr-FR"/>
        </w:rPr>
        <w:t xml:space="preserve"> a defamation lawsuit, hostile rhetoric against a journalist by public officials,</w:t>
      </w:r>
      <w:r w:rsidR="00A72B88">
        <w:rPr>
          <w:noProof/>
          <w:szCs w:val="22"/>
          <w:lang w:eastAsia="fr-FR"/>
        </w:rPr>
        <w:t xml:space="preserve"> and</w:t>
      </w:r>
      <w:r w:rsidRPr="002F67B6">
        <w:rPr>
          <w:noProof/>
          <w:szCs w:val="22"/>
          <w:lang w:eastAsia="fr-FR"/>
        </w:rPr>
        <w:t xml:space="preserve"> threats against a journalist</w:t>
      </w:r>
      <w:r w:rsidRPr="002F67B6">
        <w:rPr>
          <w:noProof/>
          <w:szCs w:val="22"/>
          <w:vertAlign w:val="superscript"/>
          <w:lang w:eastAsia="fr-FR"/>
        </w:rPr>
        <w:footnoteReference w:id="148"/>
      </w:r>
      <w:r w:rsidRPr="002F67B6">
        <w:rPr>
          <w:noProof/>
          <w:szCs w:val="22"/>
          <w:lang w:eastAsia="fr-FR"/>
        </w:rPr>
        <w:t>. Overall limited progress has been made on this part of the recommendation.</w:t>
      </w:r>
    </w:p>
    <w:p w14:paraId="059970A8" w14:textId="77777777" w:rsidR="002F67B6" w:rsidRPr="0071761B" w:rsidRDefault="002F67B6" w:rsidP="00C76A32">
      <w:pPr>
        <w:pStyle w:val="ListParagraph"/>
        <w:keepNext/>
        <w:numPr>
          <w:ilvl w:val="0"/>
          <w:numId w:val="40"/>
        </w:numPr>
        <w:outlineLvl w:val="0"/>
        <w:rPr>
          <w:b/>
          <w:smallCaps/>
          <w:noProof/>
          <w:szCs w:val="24"/>
          <w:u w:val="single"/>
          <w:lang w:eastAsia="fr-FR"/>
        </w:rPr>
      </w:pPr>
      <w:r w:rsidRPr="0071761B">
        <w:rPr>
          <w:b/>
          <w:smallCaps/>
          <w:noProof/>
          <w:szCs w:val="24"/>
          <w:u w:val="single"/>
          <w:lang w:eastAsia="fr-FR"/>
        </w:rPr>
        <w:t>Other Institutional Issues related to Checks and Balances</w:t>
      </w:r>
    </w:p>
    <w:p w14:paraId="6A83991F" w14:textId="1E628BB3" w:rsidR="002F67B6" w:rsidRPr="002F67B6" w:rsidRDefault="002F67B6" w:rsidP="3B066E14">
      <w:pPr>
        <w:rPr>
          <w:rFonts w:eastAsiaTheme="minorEastAsia" w:cstheme="minorBidi"/>
          <w:noProof/>
          <w:lang w:eastAsia="en-US"/>
        </w:rPr>
      </w:pPr>
      <w:bookmarkStart w:id="19" w:name="_Hlk225703333"/>
      <w:bookmarkStart w:id="20" w:name="_Hlk225842439"/>
      <w:r w:rsidRPr="3B066E14">
        <w:rPr>
          <w:rFonts w:eastAsiaTheme="minorEastAsia" w:cstheme="minorBidi"/>
          <w:b/>
          <w:bCs/>
          <w:noProof/>
          <w:lang w:eastAsia="en-US"/>
        </w:rPr>
        <w:t>There has been limited progress on the recommendation to introduce a formal framework for public participation in the legislative process</w:t>
      </w:r>
      <w:bookmarkEnd w:id="19"/>
      <w:r w:rsidRPr="3B066E14">
        <w:rPr>
          <w:rFonts w:eastAsiaTheme="minorEastAsia" w:cstheme="minorBidi"/>
          <w:b/>
          <w:bCs/>
          <w:noProof/>
          <w:vertAlign w:val="superscript"/>
          <w:lang w:eastAsia="en-US"/>
        </w:rPr>
        <w:footnoteReference w:id="149"/>
      </w:r>
      <w:r w:rsidRPr="3B066E14">
        <w:rPr>
          <w:rFonts w:eastAsiaTheme="minorEastAsia" w:cstheme="minorBidi"/>
          <w:noProof/>
          <w:lang w:eastAsia="en-US"/>
        </w:rPr>
        <w:t>.</w:t>
      </w:r>
      <w:r w:rsidRPr="3B066E14">
        <w:rPr>
          <w:rFonts w:eastAsiaTheme="minorEastAsia" w:cstheme="minorBidi"/>
          <w:noProof/>
          <w:color w:val="CB3535"/>
          <w:lang w:eastAsia="en-US"/>
        </w:rPr>
        <w:t xml:space="preserve"> </w:t>
      </w:r>
      <w:bookmarkEnd w:id="20"/>
      <w:r w:rsidRPr="3B066E14">
        <w:rPr>
          <w:rFonts w:eastAsiaTheme="minorEastAsia" w:cstheme="minorBidi"/>
          <w:noProof/>
          <w:lang w:eastAsia="en-US"/>
        </w:rPr>
        <w:t>Most legislation is adopted by Government through legal notices</w:t>
      </w:r>
      <w:r w:rsidRPr="3B066E14">
        <w:rPr>
          <w:rFonts w:eastAsiaTheme="minorEastAsia" w:cstheme="minorBidi"/>
          <w:noProof/>
          <w:vertAlign w:val="superscript"/>
          <w:lang w:eastAsia="en-US"/>
        </w:rPr>
        <w:footnoteReference w:id="150"/>
      </w:r>
      <w:r w:rsidRPr="3B066E14">
        <w:rPr>
          <w:rFonts w:eastAsiaTheme="minorEastAsia" w:cstheme="minorBidi"/>
          <w:noProof/>
          <w:lang w:eastAsia="en-US"/>
        </w:rPr>
        <w:t>. No legal notice was amended by Parliament during the 2022-2026 legislature</w:t>
      </w:r>
      <w:r w:rsidRPr="3B066E14">
        <w:rPr>
          <w:rFonts w:eastAsiaTheme="minorEastAsia" w:cstheme="minorBidi"/>
          <w:noProof/>
          <w:vertAlign w:val="superscript"/>
          <w:lang w:eastAsia="en-US"/>
        </w:rPr>
        <w:footnoteReference w:id="151"/>
      </w:r>
      <w:r w:rsidRPr="3B066E14">
        <w:rPr>
          <w:rFonts w:eastAsiaTheme="minorEastAsia" w:cstheme="minorBidi"/>
          <w:noProof/>
          <w:lang w:eastAsia="en-US"/>
        </w:rPr>
        <w:t xml:space="preserve">. Frequent legislative changes and </w:t>
      </w:r>
      <w:r w:rsidRPr="3B066E14">
        <w:rPr>
          <w:rFonts w:eastAsiaTheme="minorEastAsia" w:cstheme="minorBidi"/>
          <w:i/>
          <w:iCs/>
          <w:noProof/>
          <w:lang w:eastAsia="en-US"/>
        </w:rPr>
        <w:t>ad hoc</w:t>
      </w:r>
      <w:r w:rsidRPr="3B066E14">
        <w:rPr>
          <w:rFonts w:eastAsiaTheme="minorEastAsia" w:cstheme="minorBidi"/>
          <w:noProof/>
          <w:lang w:eastAsia="en-US"/>
        </w:rPr>
        <w:t xml:space="preserve"> executive </w:t>
      </w:r>
      <w:r w:rsidRPr="00F76F38">
        <w:rPr>
          <w:rFonts w:eastAsiaTheme="minorEastAsia" w:cstheme="minorBidi"/>
          <w:noProof/>
          <w:lang w:eastAsia="en-US"/>
        </w:rPr>
        <w:t>measures continue to challenge legal stability and predictability, which can affect the business environment</w:t>
      </w:r>
      <w:r w:rsidRPr="00F76F38">
        <w:rPr>
          <w:rFonts w:eastAsiaTheme="minorEastAsia" w:cstheme="minorBidi"/>
          <w:noProof/>
          <w:vertAlign w:val="superscript"/>
          <w:lang w:eastAsia="en-US"/>
        </w:rPr>
        <w:footnoteReference w:id="152"/>
      </w:r>
      <w:r w:rsidRPr="00F76F38">
        <w:rPr>
          <w:rFonts w:eastAsiaTheme="minorEastAsia" w:cstheme="minorBidi"/>
          <w:noProof/>
          <w:lang w:eastAsia="en-US"/>
        </w:rPr>
        <w:t>. The OECD has invited Malta to</w:t>
      </w:r>
      <w:r w:rsidRPr="3B066E14">
        <w:rPr>
          <w:rFonts w:eastAsiaTheme="minorEastAsia" w:cstheme="minorBidi"/>
          <w:noProof/>
          <w:lang w:eastAsia="en-US"/>
        </w:rPr>
        <w:t xml:space="preserve"> systematically seek public input before rules are drafted and to make use of </w:t>
      </w:r>
      <w:r w:rsidRPr="3B066E14">
        <w:rPr>
          <w:rFonts w:eastAsiaTheme="minorEastAsia" w:cstheme="minorBidi"/>
          <w:i/>
          <w:iCs/>
          <w:noProof/>
          <w:lang w:eastAsia="en-US"/>
        </w:rPr>
        <w:t xml:space="preserve">ex post </w:t>
      </w:r>
      <w:r w:rsidRPr="3B066E14">
        <w:rPr>
          <w:rFonts w:eastAsiaTheme="minorEastAsia" w:cstheme="minorBidi"/>
          <w:noProof/>
          <w:lang w:eastAsia="en-US"/>
        </w:rPr>
        <w:t>evaluations</w:t>
      </w:r>
      <w:r w:rsidRPr="3B066E14">
        <w:rPr>
          <w:rFonts w:eastAsiaTheme="minorEastAsia" w:cstheme="minorBidi"/>
          <w:noProof/>
          <w:vertAlign w:val="superscript"/>
          <w:lang w:eastAsia="en-US"/>
        </w:rPr>
        <w:footnoteReference w:id="153"/>
      </w:r>
      <w:r w:rsidRPr="3B066E14">
        <w:rPr>
          <w:rFonts w:eastAsiaTheme="minorEastAsia" w:cstheme="minorBidi"/>
          <w:noProof/>
          <w:lang w:eastAsia="en-US"/>
        </w:rPr>
        <w:t xml:space="preserve">. </w:t>
      </w:r>
      <w:bookmarkStart w:id="21" w:name="_Hlk225703348"/>
      <w:r w:rsidRPr="3B066E14">
        <w:rPr>
          <w:rFonts w:eastAsiaTheme="minorEastAsia" w:cstheme="minorBidi"/>
          <w:noProof/>
          <w:lang w:eastAsia="en-US"/>
        </w:rPr>
        <w:t xml:space="preserve">Several bills were tabled by Government and rapidly brought to a vote in Parliament without public </w:t>
      </w:r>
      <w:bookmarkEnd w:id="21"/>
      <w:r w:rsidRPr="3B066E14">
        <w:rPr>
          <w:rFonts w:eastAsiaTheme="minorEastAsia" w:cstheme="minorBidi"/>
          <w:noProof/>
          <w:lang w:eastAsia="en-US"/>
        </w:rPr>
        <w:t>input</w:t>
      </w:r>
      <w:r w:rsidRPr="3B066E14">
        <w:rPr>
          <w:rFonts w:eastAsiaTheme="minorEastAsia" w:cstheme="minorBidi"/>
          <w:noProof/>
          <w:color w:val="000000" w:themeColor="text1"/>
          <w:vertAlign w:val="superscript"/>
          <w:lang w:eastAsia="en-US"/>
        </w:rPr>
        <w:footnoteReference w:id="154"/>
      </w:r>
      <w:r w:rsidRPr="3B066E14">
        <w:rPr>
          <w:rFonts w:eastAsiaTheme="minorEastAsia" w:cstheme="minorBidi"/>
          <w:noProof/>
          <w:color w:val="000000" w:themeColor="text1"/>
          <w:lang w:eastAsia="en-US"/>
        </w:rPr>
        <w:t>; some were reconsidered due to public criticism after being tabled in Parliament without prior consultation</w:t>
      </w:r>
      <w:r w:rsidRPr="3B066E14">
        <w:rPr>
          <w:rFonts w:eastAsiaTheme="minorEastAsia" w:cstheme="minorBidi"/>
          <w:noProof/>
          <w:vertAlign w:val="superscript"/>
          <w:lang w:eastAsia="en-US"/>
        </w:rPr>
        <w:footnoteReference w:id="155"/>
      </w:r>
      <w:r w:rsidRPr="3B066E14">
        <w:rPr>
          <w:rFonts w:eastAsiaTheme="minorEastAsia" w:cstheme="minorBidi"/>
          <w:noProof/>
          <w:lang w:eastAsia="en-US"/>
        </w:rPr>
        <w:t>.</w:t>
      </w:r>
      <w:r w:rsidRPr="3B066E14">
        <w:rPr>
          <w:rFonts w:eastAsiaTheme="minorEastAsia" w:cstheme="minorBidi"/>
          <w:noProof/>
          <w:color w:val="000000"/>
          <w:lang w:eastAsia="en-US"/>
        </w:rPr>
        <w:t xml:space="preserve"> </w:t>
      </w:r>
      <w:r w:rsidRPr="3B066E14">
        <w:rPr>
          <w:rFonts w:eastAsiaTheme="minorEastAsia" w:cstheme="minorBidi"/>
          <w:noProof/>
          <w:color w:val="000000"/>
          <w:lang w:val="en-IE" w:eastAsia="en-US"/>
        </w:rPr>
        <w:t xml:space="preserve">While there were no legislative developments to formalise </w:t>
      </w:r>
      <w:r w:rsidRPr="3B066E14">
        <w:rPr>
          <w:rFonts w:eastAsiaTheme="minorEastAsia" w:cstheme="minorBidi"/>
          <w:noProof/>
          <w:lang w:eastAsia="en-US"/>
        </w:rPr>
        <w:t>public participation in the legislative process</w:t>
      </w:r>
      <w:r w:rsidRPr="3B066E14">
        <w:rPr>
          <w:rFonts w:eastAsiaTheme="minorEastAsia" w:cstheme="minorBidi"/>
          <w:noProof/>
          <w:color w:val="000000"/>
          <w:lang w:val="en-IE" w:eastAsia="en-US"/>
        </w:rPr>
        <w:t xml:space="preserve">, </w:t>
      </w:r>
      <w:r w:rsidRPr="3B066E14">
        <w:rPr>
          <w:rFonts w:eastAsiaTheme="minorEastAsia" w:cstheme="minorBidi"/>
          <w:noProof/>
          <w:lang w:eastAsia="en-US"/>
        </w:rPr>
        <w:t xml:space="preserve">in October 2025 the Government established a Department of Public Consultation, with the aim to </w:t>
      </w:r>
      <w:r w:rsidRPr="3B066E14">
        <w:rPr>
          <w:rFonts w:eastAsiaTheme="minorEastAsia" w:cstheme="minorBidi"/>
          <w:noProof/>
          <w:lang w:val="en-IE" w:eastAsia="en-US"/>
        </w:rPr>
        <w:t>ensure that public perspectives are incorporated early on, and to monitor institutional compliance with the procedures and standards for consultations</w:t>
      </w:r>
      <w:r w:rsidRPr="3B066E14">
        <w:rPr>
          <w:rFonts w:eastAsiaTheme="minorEastAsia" w:cstheme="minorBidi"/>
          <w:noProof/>
          <w:vertAlign w:val="superscript"/>
          <w:lang w:eastAsia="en-US"/>
        </w:rPr>
        <w:footnoteReference w:id="156"/>
      </w:r>
      <w:r w:rsidRPr="3B066E14">
        <w:rPr>
          <w:rFonts w:eastAsiaTheme="minorEastAsia" w:cstheme="minorBidi"/>
          <w:noProof/>
          <w:lang w:eastAsia="en-US"/>
        </w:rPr>
        <w:t>. Stakeholders noted that the new Department is yet to concretely improve the procedures for public participation in the legislative process</w:t>
      </w:r>
      <w:r w:rsidRPr="3B066E14">
        <w:rPr>
          <w:rFonts w:eastAsiaTheme="minorEastAsia" w:cstheme="minorBidi"/>
          <w:noProof/>
          <w:vertAlign w:val="superscript"/>
          <w:lang w:eastAsia="en-US"/>
        </w:rPr>
        <w:footnoteReference w:id="157"/>
      </w:r>
      <w:r w:rsidRPr="3B066E14">
        <w:rPr>
          <w:rFonts w:eastAsiaTheme="minorEastAsia" w:cstheme="minorBidi"/>
          <w:noProof/>
          <w:lang w:eastAsia="en-US"/>
        </w:rPr>
        <w:t xml:space="preserve">. Overall, limited progress has been made on the recommendation. </w:t>
      </w:r>
    </w:p>
    <w:p w14:paraId="55962E06" w14:textId="51A301B5" w:rsidR="002F67B6" w:rsidRPr="002F67B6" w:rsidRDefault="002F67B6" w:rsidP="002F67B6">
      <w:pPr>
        <w:rPr>
          <w:rFonts w:eastAsiaTheme="minorHAnsi" w:cstheme="minorBidi"/>
          <w:noProof/>
          <w:szCs w:val="22"/>
          <w:lang w:eastAsia="en-US"/>
        </w:rPr>
      </w:pPr>
      <w:bookmarkStart w:id="22" w:name="_Hlk225703355"/>
      <w:bookmarkStart w:id="23" w:name="_Hlk225842688"/>
      <w:r w:rsidRPr="002F67B6">
        <w:rPr>
          <w:rFonts w:eastAsiaTheme="minorHAnsi" w:cstheme="minorBidi"/>
          <w:b/>
          <w:bCs/>
          <w:noProof/>
          <w:szCs w:val="22"/>
          <w:lang w:eastAsia="en-US"/>
        </w:rPr>
        <w:t xml:space="preserve">There has been no progress yet on the recommendation to establish </w:t>
      </w:r>
      <w:r w:rsidRPr="002F67B6">
        <w:rPr>
          <w:rFonts w:eastAsiaTheme="minorHAnsi" w:cstheme="minorBidi"/>
          <w:b/>
          <w:bCs/>
          <w:noProof/>
          <w:szCs w:val="22"/>
          <w:lang w:eastAsia="en-GB"/>
        </w:rPr>
        <w:t xml:space="preserve">a </w:t>
      </w:r>
      <w:r w:rsidRPr="002F67B6">
        <w:rPr>
          <w:rFonts w:eastAsiaTheme="minorHAnsi" w:cstheme="minorBidi"/>
          <w:b/>
          <w:bCs/>
          <w:noProof/>
          <w:szCs w:val="22"/>
          <w:lang w:eastAsia="en-US"/>
        </w:rPr>
        <w:t>National Human Rights Institution (NHRI) taking into account the UN Paris Principles</w:t>
      </w:r>
      <w:bookmarkEnd w:id="22"/>
      <w:r w:rsidRPr="002F67B6">
        <w:rPr>
          <w:rFonts w:eastAsiaTheme="minorHAnsi" w:cstheme="minorBidi"/>
          <w:b/>
          <w:bCs/>
          <w:noProof/>
          <w:szCs w:val="22"/>
          <w:vertAlign w:val="superscript"/>
          <w:lang w:eastAsia="en-US"/>
        </w:rPr>
        <w:footnoteReference w:id="158"/>
      </w:r>
      <w:r w:rsidRPr="002F67B6">
        <w:rPr>
          <w:rFonts w:eastAsiaTheme="minorHAnsi" w:cstheme="minorBidi"/>
          <w:noProof/>
          <w:szCs w:val="22"/>
          <w:lang w:eastAsia="en-US"/>
        </w:rPr>
        <w:t xml:space="preserve">. </w:t>
      </w:r>
      <w:bookmarkEnd w:id="23"/>
      <w:r w:rsidRPr="002F67B6">
        <w:rPr>
          <w:rFonts w:eastAsiaTheme="minorHAnsi" w:cstheme="minorBidi"/>
          <w:noProof/>
          <w:szCs w:val="22"/>
          <w:lang w:eastAsia="en-US"/>
        </w:rPr>
        <w:t>The Government is preparing a Human Rights and Equality Commission Bill, with the aim to establish a dual-mandate body taking into account the UN Paris Principles</w:t>
      </w:r>
      <w:r w:rsidRPr="002F67B6">
        <w:rPr>
          <w:rFonts w:eastAsiaTheme="minorHAnsi" w:cstheme="minorBidi"/>
          <w:noProof/>
          <w:szCs w:val="22"/>
          <w:vertAlign w:val="superscript"/>
          <w:lang w:eastAsia="en-US"/>
        </w:rPr>
        <w:footnoteReference w:id="159"/>
      </w:r>
      <w:r w:rsidRPr="002F67B6">
        <w:rPr>
          <w:rFonts w:eastAsiaTheme="minorHAnsi" w:cstheme="minorBidi"/>
          <w:noProof/>
          <w:szCs w:val="22"/>
          <w:lang w:eastAsia="en-US"/>
        </w:rPr>
        <w:t>. The bill has not yet been published for consultation or tabled in Parliament. Based on the above, no progress has yet been made to implement the recommendation.</w:t>
      </w:r>
    </w:p>
    <w:p w14:paraId="7D708E5E" w14:textId="44B4064F" w:rsidR="002F67B6" w:rsidRPr="002F67B6" w:rsidRDefault="002F67B6" w:rsidP="3B066E14">
      <w:pPr>
        <w:rPr>
          <w:rFonts w:eastAsiaTheme="minorEastAsia" w:cstheme="minorBidi"/>
          <w:noProof/>
          <w:lang w:val="en-IE" w:eastAsia="en-US"/>
        </w:rPr>
      </w:pPr>
      <w:r w:rsidRPr="3B066E14">
        <w:rPr>
          <w:rFonts w:eastAsiaTheme="minorEastAsia"/>
          <w:b/>
          <w:bCs/>
          <w:noProof/>
          <w:lang w:val="en-IE" w:eastAsia="en-US"/>
        </w:rPr>
        <w:t>On 1 January 2026, Malta had 15 leading judgments of the European Court of Human Rights pending implementation, an increase of 1 compared to the previous year</w:t>
      </w:r>
      <w:r w:rsidRPr="3B066E14">
        <w:rPr>
          <w:rFonts w:eastAsiaTheme="minorEastAsia"/>
          <w:b/>
          <w:bCs/>
          <w:noProof/>
          <w:vertAlign w:val="superscript"/>
          <w:lang w:val="en-US" w:eastAsia="en-US"/>
        </w:rPr>
        <w:footnoteReference w:id="160"/>
      </w:r>
      <w:r w:rsidRPr="3B066E14">
        <w:rPr>
          <w:rFonts w:eastAsiaTheme="minorEastAsia"/>
          <w:b/>
          <w:bCs/>
          <w:noProof/>
          <w:lang w:val="en-IE" w:eastAsia="en-US"/>
        </w:rPr>
        <w:t xml:space="preserve">. </w:t>
      </w:r>
      <w:r w:rsidRPr="3B066E14">
        <w:rPr>
          <w:rFonts w:eastAsiaTheme="minorEastAsia"/>
          <w:noProof/>
          <w:lang w:val="en-IE" w:eastAsia="en-US"/>
        </w:rPr>
        <w:t>At that time, Malta’s rate of leading judgments from the past 10 years that had been implemented was at</w:t>
      </w:r>
      <w:r w:rsidRPr="3B066E14" w:rsidDel="0061782E">
        <w:rPr>
          <w:rFonts w:eastAsiaTheme="minorEastAsia"/>
          <w:noProof/>
          <w:lang w:val="en-IE" w:eastAsia="en-US"/>
        </w:rPr>
        <w:t xml:space="preserve"> </w:t>
      </w:r>
      <w:r w:rsidRPr="3B066E14">
        <w:rPr>
          <w:rFonts w:eastAsiaTheme="minorEastAsia"/>
          <w:noProof/>
          <w:lang w:val="en-IE" w:eastAsia="en-US"/>
        </w:rPr>
        <w:t>4</w:t>
      </w:r>
      <w:r w:rsidR="00A44720" w:rsidRPr="3B066E14">
        <w:rPr>
          <w:rFonts w:eastAsiaTheme="minorEastAsia"/>
          <w:noProof/>
          <w:lang w:val="en-IE" w:eastAsia="en-US"/>
        </w:rPr>
        <w:t>5</w:t>
      </w:r>
      <w:r w:rsidRPr="3B066E14">
        <w:rPr>
          <w:rFonts w:eastAsiaTheme="minorEastAsia"/>
          <w:noProof/>
          <w:lang w:val="en-IE" w:eastAsia="en-US"/>
        </w:rPr>
        <w:t>% (</w:t>
      </w:r>
      <w:r w:rsidR="008F30BD" w:rsidRPr="3B066E14">
        <w:rPr>
          <w:rFonts w:eastAsiaTheme="minorEastAsia"/>
          <w:noProof/>
          <w:lang w:val="en-IE" w:eastAsia="en-US"/>
        </w:rPr>
        <w:t>43% in 2025</w:t>
      </w:r>
      <w:r w:rsidRPr="3B066E14">
        <w:rPr>
          <w:rFonts w:eastAsiaTheme="minorEastAsia"/>
          <w:noProof/>
          <w:lang w:val="en-IE" w:eastAsia="en-US"/>
        </w:rPr>
        <w:t>; 5</w:t>
      </w:r>
      <w:r w:rsidR="008F30BD" w:rsidRPr="3B066E14">
        <w:rPr>
          <w:rFonts w:eastAsiaTheme="minorEastAsia"/>
          <w:noProof/>
          <w:lang w:val="en-IE" w:eastAsia="en-US"/>
        </w:rPr>
        <w:t>5</w:t>
      </w:r>
      <w:r w:rsidRPr="3B066E14">
        <w:rPr>
          <w:rFonts w:eastAsiaTheme="minorEastAsia"/>
          <w:noProof/>
          <w:lang w:val="en-IE" w:eastAsia="en-US"/>
        </w:rPr>
        <w:t>% remained pending)</w:t>
      </w:r>
      <w:r w:rsidR="008F30BD" w:rsidRPr="3B066E14">
        <w:rPr>
          <w:rFonts w:eastAsiaTheme="minorEastAsia"/>
          <w:noProof/>
          <w:lang w:val="en-IE" w:eastAsia="en-US"/>
        </w:rPr>
        <w:t>. In 2025</w:t>
      </w:r>
      <w:r w:rsidRPr="3B066E14">
        <w:rPr>
          <w:rFonts w:eastAsiaTheme="minorEastAsia"/>
          <w:noProof/>
          <w:lang w:val="en-IE" w:eastAsia="en-US"/>
        </w:rPr>
        <w:t xml:space="preserve"> the average time that the judgments had been pending implementation </w:t>
      </w:r>
      <w:r w:rsidRPr="3B066E14">
        <w:rPr>
          <w:rFonts w:eastAsiaTheme="minorEastAsia"/>
          <w:noProof/>
          <w:lang w:val="en-US" w:eastAsia="en-US"/>
        </w:rPr>
        <w:t xml:space="preserve">was </w:t>
      </w:r>
      <w:r w:rsidR="00644590" w:rsidRPr="3B066E14">
        <w:rPr>
          <w:rFonts w:eastAsiaTheme="minorEastAsia"/>
          <w:noProof/>
          <w:lang w:val="en-US" w:eastAsia="en-US"/>
        </w:rPr>
        <w:t>7</w:t>
      </w:r>
      <w:r w:rsidRPr="3B066E14">
        <w:rPr>
          <w:rFonts w:eastAsiaTheme="minorEastAsia"/>
          <w:noProof/>
          <w:lang w:val="en-US" w:eastAsia="en-US"/>
        </w:rPr>
        <w:t xml:space="preserve"> years and </w:t>
      </w:r>
      <w:r w:rsidR="00644590" w:rsidRPr="3B066E14">
        <w:rPr>
          <w:rFonts w:eastAsiaTheme="minorEastAsia"/>
          <w:noProof/>
          <w:lang w:val="en-US" w:eastAsia="en-US"/>
        </w:rPr>
        <w:t>1</w:t>
      </w:r>
      <w:r w:rsidRPr="3B066E14">
        <w:rPr>
          <w:rFonts w:eastAsiaTheme="minorEastAsia"/>
          <w:noProof/>
          <w:lang w:val="en-US" w:eastAsia="en-US"/>
        </w:rPr>
        <w:t xml:space="preserve"> months (compared to 6 years</w:t>
      </w:r>
      <w:r w:rsidR="00644590" w:rsidRPr="3B066E14">
        <w:rPr>
          <w:rFonts w:eastAsiaTheme="minorEastAsia"/>
          <w:noProof/>
          <w:lang w:val="en-US" w:eastAsia="en-US"/>
        </w:rPr>
        <w:t xml:space="preserve"> and 6 months</w:t>
      </w:r>
      <w:r w:rsidRPr="3B066E14">
        <w:rPr>
          <w:rFonts w:eastAsiaTheme="minorEastAsia"/>
          <w:noProof/>
          <w:lang w:val="en-US" w:eastAsia="en-US"/>
        </w:rPr>
        <w:t xml:space="preserve"> in 202</w:t>
      </w:r>
      <w:r w:rsidR="00644590" w:rsidRPr="3B066E14">
        <w:rPr>
          <w:rFonts w:eastAsiaTheme="minorEastAsia"/>
          <w:noProof/>
          <w:lang w:val="en-US" w:eastAsia="en-US"/>
        </w:rPr>
        <w:t>5</w:t>
      </w:r>
      <w:r w:rsidRPr="3B066E14">
        <w:rPr>
          <w:rFonts w:eastAsiaTheme="minorEastAsia"/>
          <w:noProof/>
          <w:lang w:val="en-US" w:eastAsia="en-US"/>
        </w:rPr>
        <w:t>)</w:t>
      </w:r>
      <w:r w:rsidRPr="3B066E14">
        <w:rPr>
          <w:rFonts w:eastAsiaTheme="minorEastAsia"/>
          <w:noProof/>
          <w:vertAlign w:val="superscript"/>
          <w:lang w:val="en-US" w:eastAsia="en-US"/>
        </w:rPr>
        <w:footnoteReference w:id="161"/>
      </w:r>
      <w:r w:rsidRPr="3B066E14">
        <w:rPr>
          <w:rFonts w:eastAsiaTheme="minorEastAsia"/>
          <w:noProof/>
          <w:lang w:val="en-US" w:eastAsia="en-US"/>
        </w:rPr>
        <w:t xml:space="preserve">. The oldest leading judgment has been pending implementation for 19 years </w:t>
      </w:r>
      <w:r w:rsidR="16E34842" w:rsidRPr="3B066E14">
        <w:rPr>
          <w:rFonts w:eastAsiaTheme="minorEastAsia"/>
          <w:noProof/>
          <w:lang w:val="en-US" w:eastAsia="en-US"/>
        </w:rPr>
        <w:t xml:space="preserve">and </w:t>
      </w:r>
      <w:r w:rsidRPr="3B066E14">
        <w:rPr>
          <w:rFonts w:eastAsiaTheme="minorEastAsia"/>
          <w:noProof/>
          <w:lang w:val="en-US" w:eastAsia="en-US"/>
        </w:rPr>
        <w:t>concerns disproportionate restrictions on</w:t>
      </w:r>
      <w:r w:rsidRPr="3B066E14" w:rsidDel="00DB7E17">
        <w:rPr>
          <w:rFonts w:eastAsiaTheme="minorEastAsia"/>
          <w:noProof/>
          <w:lang w:val="en-US" w:eastAsia="en-US"/>
        </w:rPr>
        <w:t xml:space="preserve"> property rights</w:t>
      </w:r>
      <w:r w:rsidRPr="3B066E14">
        <w:rPr>
          <w:rFonts w:eastAsiaTheme="minorEastAsia"/>
          <w:noProof/>
          <w:vertAlign w:val="superscript"/>
          <w:lang w:val="en-US" w:eastAsia="en-US"/>
        </w:rPr>
        <w:footnoteReference w:id="162"/>
      </w:r>
      <w:r w:rsidRPr="3B066E14">
        <w:rPr>
          <w:rFonts w:eastAsiaTheme="minorEastAsia"/>
          <w:noProof/>
          <w:lang w:val="en-US" w:eastAsia="en-US"/>
        </w:rPr>
        <w:t>.</w:t>
      </w:r>
      <w:r w:rsidRPr="3B066E14">
        <w:rPr>
          <w:rFonts w:eastAsiaTheme="minorEastAsia"/>
          <w:b/>
          <w:bCs/>
          <w:noProof/>
          <w:lang w:val="en-US" w:eastAsia="en-US"/>
        </w:rPr>
        <w:t xml:space="preserve"> </w:t>
      </w:r>
      <w:r w:rsidR="00644590" w:rsidRPr="00352C6F">
        <w:rPr>
          <w:rFonts w:eastAsiaTheme="minorEastAsia"/>
          <w:noProof/>
          <w:lang w:val="en-US" w:eastAsia="en-US"/>
        </w:rPr>
        <w:t>As regards</w:t>
      </w:r>
      <w:r w:rsidR="00644590" w:rsidRPr="3B066E14">
        <w:rPr>
          <w:rFonts w:eastAsiaTheme="minorEastAsia"/>
          <w:b/>
          <w:bCs/>
          <w:noProof/>
          <w:lang w:val="en-US" w:eastAsia="en-US"/>
        </w:rPr>
        <w:t xml:space="preserve"> </w:t>
      </w:r>
      <w:r w:rsidR="00644590" w:rsidRPr="3B066E14">
        <w:rPr>
          <w:rFonts w:eastAsiaTheme="minorEastAsia"/>
          <w:noProof/>
          <w:lang w:val="en-IE" w:eastAsia="en-US"/>
        </w:rPr>
        <w:t xml:space="preserve">the </w:t>
      </w:r>
      <w:r w:rsidRPr="3B066E14">
        <w:rPr>
          <w:rFonts w:eastAsiaTheme="minorEastAsia"/>
          <w:noProof/>
          <w:lang w:val="en-IE" w:eastAsia="en-US"/>
        </w:rPr>
        <w:t>respect of payment deadlines,</w:t>
      </w:r>
      <w:r w:rsidR="00C431ED" w:rsidRPr="3B066E14">
        <w:rPr>
          <w:rFonts w:eastAsiaTheme="minorEastAsia"/>
          <w:noProof/>
          <w:lang w:val="en-IE" w:eastAsia="en-US"/>
        </w:rPr>
        <w:t xml:space="preserve"> on 31 December</w:t>
      </w:r>
      <w:r w:rsidR="009E181A" w:rsidRPr="3B066E14">
        <w:rPr>
          <w:rFonts w:eastAsiaTheme="minorEastAsia"/>
          <w:noProof/>
          <w:lang w:val="en-IE" w:eastAsia="en-US"/>
        </w:rPr>
        <w:t xml:space="preserve"> 2025 there were 2</w:t>
      </w:r>
      <w:r w:rsidRPr="3B066E14">
        <w:rPr>
          <w:rFonts w:eastAsiaTheme="minorEastAsia"/>
          <w:noProof/>
          <w:lang w:val="en-IE" w:eastAsia="en-US"/>
        </w:rPr>
        <w:t xml:space="preserve"> case</w:t>
      </w:r>
      <w:r w:rsidR="009E181A" w:rsidRPr="3B066E14">
        <w:rPr>
          <w:rFonts w:eastAsiaTheme="minorEastAsia"/>
          <w:noProof/>
          <w:lang w:val="en-IE" w:eastAsia="en-US"/>
        </w:rPr>
        <w:t>s</w:t>
      </w:r>
      <w:r w:rsidRPr="3B066E14">
        <w:rPr>
          <w:rFonts w:eastAsiaTheme="minorEastAsia"/>
          <w:noProof/>
          <w:lang w:val="en-IE" w:eastAsia="en-US"/>
        </w:rPr>
        <w:t xml:space="preserve"> awaiting confirmation of payments (compared to </w:t>
      </w:r>
      <w:r w:rsidR="009E181A" w:rsidRPr="3B066E14">
        <w:rPr>
          <w:rFonts w:eastAsiaTheme="minorEastAsia"/>
          <w:noProof/>
          <w:lang w:val="en-IE" w:eastAsia="en-US"/>
        </w:rPr>
        <w:t>1</w:t>
      </w:r>
      <w:r w:rsidRPr="3B066E14">
        <w:rPr>
          <w:rFonts w:eastAsiaTheme="minorEastAsia"/>
          <w:noProof/>
          <w:lang w:val="en-IE" w:eastAsia="en-US"/>
        </w:rPr>
        <w:t xml:space="preserve"> by end 202</w:t>
      </w:r>
      <w:r w:rsidR="009E181A" w:rsidRPr="3B066E14">
        <w:rPr>
          <w:rFonts w:eastAsiaTheme="minorEastAsia"/>
          <w:noProof/>
          <w:lang w:val="en-IE" w:eastAsia="en-US"/>
        </w:rPr>
        <w:t>4</w:t>
      </w:r>
      <w:r w:rsidRPr="3B066E14">
        <w:rPr>
          <w:rFonts w:eastAsiaTheme="minorEastAsia"/>
          <w:noProof/>
          <w:lang w:val="en-IE" w:eastAsia="en-US"/>
        </w:rPr>
        <w:t>)</w:t>
      </w:r>
      <w:r w:rsidRPr="3B066E14">
        <w:rPr>
          <w:rFonts w:eastAsiaTheme="minorEastAsia"/>
          <w:noProof/>
          <w:vertAlign w:val="superscript"/>
          <w:lang w:val="en-US" w:eastAsia="en-US"/>
        </w:rPr>
        <w:footnoteReference w:id="163"/>
      </w:r>
      <w:r w:rsidRPr="00243046">
        <w:rPr>
          <w:rFonts w:eastAsiaTheme="minorEastAsia"/>
          <w:noProof/>
          <w:lang w:val="en-IE" w:eastAsia="en-US"/>
        </w:rPr>
        <w:t>.</w:t>
      </w:r>
      <w:r w:rsidR="00115F7F" w:rsidRPr="00243046">
        <w:rPr>
          <w:rFonts w:eastAsiaTheme="minorEastAsia"/>
          <w:noProof/>
          <w:lang w:val="en-IE" w:eastAsia="en-US"/>
        </w:rPr>
        <w:t xml:space="preserve"> By the same date</w:t>
      </w:r>
      <w:r w:rsidRPr="3B066E14">
        <w:rPr>
          <w:rFonts w:eastAsiaTheme="minorEastAsia"/>
          <w:noProof/>
          <w:lang w:val="en-IE" w:eastAsia="en-US"/>
        </w:rPr>
        <w:t xml:space="preserve">, the number of leading judgments pending implementation had </w:t>
      </w:r>
      <w:r w:rsidR="00D22671" w:rsidRPr="3B066E14">
        <w:rPr>
          <w:rFonts w:eastAsiaTheme="minorEastAsia"/>
          <w:noProof/>
          <w:lang w:val="en-IE" w:eastAsia="en-US"/>
        </w:rPr>
        <w:t>de</w:t>
      </w:r>
      <w:r w:rsidRPr="3B066E14">
        <w:rPr>
          <w:rFonts w:eastAsiaTheme="minorEastAsia"/>
          <w:noProof/>
          <w:lang w:val="en-IE" w:eastAsia="en-US"/>
        </w:rPr>
        <w:t>creased to 1</w:t>
      </w:r>
      <w:r w:rsidR="00491716" w:rsidRPr="3B066E14">
        <w:rPr>
          <w:rFonts w:eastAsiaTheme="minorEastAsia"/>
          <w:noProof/>
          <w:lang w:val="en-IE" w:eastAsia="en-US"/>
        </w:rPr>
        <w:t>4</w:t>
      </w:r>
      <w:r w:rsidRPr="3B066E14">
        <w:rPr>
          <w:rFonts w:eastAsiaTheme="minorEastAsia"/>
          <w:noProof/>
          <w:vertAlign w:val="superscript"/>
          <w:lang w:val="en-US" w:eastAsia="en-US"/>
        </w:rPr>
        <w:footnoteReference w:id="164"/>
      </w:r>
      <w:r w:rsidRPr="3B066E14">
        <w:rPr>
          <w:rFonts w:eastAsiaTheme="minorEastAsia"/>
          <w:noProof/>
          <w:lang w:val="en-IE" w:eastAsia="en-US"/>
        </w:rPr>
        <w:t>.</w:t>
      </w:r>
    </w:p>
    <w:p w14:paraId="6212A575" w14:textId="4BAE974E" w:rsidR="002F67B6" w:rsidRPr="002F67B6" w:rsidRDefault="002F67B6" w:rsidP="002F67B6">
      <w:pPr>
        <w:rPr>
          <w:rFonts w:eastAsia="Calibri" w:cstheme="minorBidi"/>
          <w:noProof/>
          <w:szCs w:val="22"/>
          <w:lang w:eastAsia="en-US"/>
        </w:rPr>
      </w:pPr>
      <w:r w:rsidRPr="002F67B6">
        <w:rPr>
          <w:b/>
          <w:bCs/>
          <w:noProof/>
          <w:szCs w:val="22"/>
          <w:lang w:eastAsia="fr-FR"/>
        </w:rPr>
        <w:t xml:space="preserve">More than two thirds of companies surveyed in Malta express confidence in the effectiveness of investment protection. </w:t>
      </w:r>
      <w:r w:rsidRPr="002F67B6">
        <w:rPr>
          <w:rFonts w:eastAsia="Calibri"/>
          <w:noProof/>
          <w:szCs w:val="22"/>
          <w:lang w:val="en-US" w:eastAsia="en-US"/>
        </w:rPr>
        <w:t>68% of companies are very or fairly confident that investments are protected by law and courts, a figure which has significantly decreased (77% in 2025)</w:t>
      </w:r>
      <w:r w:rsidRPr="002F67B6">
        <w:rPr>
          <w:rFonts w:eastAsia="Calibri"/>
          <w:noProof/>
          <w:szCs w:val="22"/>
          <w:vertAlign w:val="superscript"/>
          <w:lang w:val="en-US" w:eastAsia="en-US"/>
        </w:rPr>
        <w:footnoteReference w:id="165"/>
      </w:r>
      <w:r w:rsidRPr="002F67B6">
        <w:rPr>
          <w:rFonts w:eastAsia="Calibri"/>
          <w:noProof/>
          <w:szCs w:val="22"/>
          <w:lang w:val="en-US" w:eastAsia="en-US"/>
        </w:rPr>
        <w:t xml:space="preserve">. </w:t>
      </w:r>
      <w:r w:rsidRPr="002F67B6" w:rsidDel="4D7EA44A">
        <w:rPr>
          <w:rFonts w:eastAsia="Calibri"/>
          <w:noProof/>
          <w:szCs w:val="22"/>
          <w:lang w:val="en-US" w:eastAsia="en-US"/>
        </w:rPr>
        <w:t>As regards authorities</w:t>
      </w:r>
      <w:r w:rsidRPr="002F67B6" w:rsidDel="00695255">
        <w:rPr>
          <w:rFonts w:eastAsia="Calibri"/>
          <w:noProof/>
          <w:szCs w:val="22"/>
          <w:lang w:val="en-US" w:eastAsia="en-US"/>
        </w:rPr>
        <w:t xml:space="preserve"> </w:t>
      </w:r>
      <w:r w:rsidRPr="002F67B6" w:rsidDel="776C002D">
        <w:rPr>
          <w:rFonts w:eastAsia="Calibri"/>
          <w:noProof/>
          <w:szCs w:val="22"/>
          <w:lang w:val="en-US" w:eastAsia="en-US"/>
        </w:rPr>
        <w:t>relevant for economic operators,</w:t>
      </w:r>
      <w:r w:rsidRPr="002F67B6" w:rsidDel="00695255">
        <w:rPr>
          <w:rFonts w:eastAsia="Calibri"/>
          <w:noProof/>
          <w:szCs w:val="22"/>
          <w:lang w:val="en-US" w:eastAsia="en-US"/>
        </w:rPr>
        <w:t xml:space="preserve"> </w:t>
      </w:r>
      <w:r w:rsidRPr="002F67B6">
        <w:rPr>
          <w:rFonts w:eastAsia="Calibri"/>
          <w:noProof/>
          <w:szCs w:val="22"/>
          <w:lang w:val="en-US" w:eastAsia="en-US"/>
        </w:rPr>
        <w:t>58</w:t>
      </w:r>
      <w:r w:rsidRPr="002F67B6" w:rsidDel="00695255">
        <w:rPr>
          <w:rFonts w:eastAsia="Calibri"/>
          <w:noProof/>
          <w:szCs w:val="22"/>
          <w:lang w:val="en-US" w:eastAsia="en-US"/>
        </w:rPr>
        <w:t xml:space="preserve">% perceive the level of independence of the </w:t>
      </w:r>
      <w:r w:rsidRPr="002F67B6" w:rsidDel="00695255">
        <w:rPr>
          <w:noProof/>
          <w:szCs w:val="22"/>
          <w:lang w:val="en-US" w:eastAsia="en-IE"/>
        </w:rPr>
        <w:t>Malta Competition and Consumer Affairs Authority</w:t>
      </w:r>
      <w:r w:rsidRPr="002F67B6">
        <w:rPr>
          <w:rFonts w:eastAsia="Calibri"/>
          <w:noProof/>
          <w:szCs w:val="22"/>
          <w:lang w:val="en-US" w:eastAsia="en-US"/>
        </w:rPr>
        <w:t xml:space="preserve"> as very or fairly good, a figure which has significantly decreased (82% in 2025)</w:t>
      </w:r>
      <w:r w:rsidRPr="002F67B6">
        <w:rPr>
          <w:rFonts w:eastAsia="Calibri"/>
          <w:noProof/>
          <w:szCs w:val="22"/>
          <w:vertAlign w:val="superscript"/>
          <w:lang w:val="en-US" w:eastAsia="en-US"/>
        </w:rPr>
        <w:footnoteReference w:id="166"/>
      </w:r>
      <w:r w:rsidRPr="002F67B6">
        <w:rPr>
          <w:rFonts w:eastAsia="Calibri"/>
          <w:noProof/>
          <w:szCs w:val="22"/>
          <w:lang w:val="en-US" w:eastAsia="en-US"/>
        </w:rPr>
        <w:t xml:space="preserve"> </w:t>
      </w:r>
      <w:r w:rsidRPr="002F67B6" w:rsidDel="00695255">
        <w:rPr>
          <w:rFonts w:eastAsia="Calibri"/>
          <w:noProof/>
          <w:szCs w:val="22"/>
          <w:lang w:val="en-US" w:eastAsia="en-US"/>
        </w:rPr>
        <w:t>.</w:t>
      </w:r>
    </w:p>
    <w:p w14:paraId="00625658" w14:textId="030F1255" w:rsidR="002F67B6" w:rsidRPr="002F67B6" w:rsidRDefault="002F67B6" w:rsidP="002F67B6">
      <w:pPr>
        <w:rPr>
          <w:rFonts w:eastAsiaTheme="minorHAnsi" w:cstheme="minorBidi"/>
          <w:noProof/>
          <w:szCs w:val="22"/>
          <w:lang w:eastAsia="en-US"/>
        </w:rPr>
      </w:pPr>
      <w:bookmarkStart w:id="24" w:name="_Hlk225703373"/>
      <w:r w:rsidRPr="002F67B6">
        <w:rPr>
          <w:rFonts w:eastAsiaTheme="minorHAnsi" w:cstheme="minorBidi"/>
          <w:b/>
          <w:bCs/>
          <w:noProof/>
          <w:szCs w:val="22"/>
          <w:lang w:eastAsia="en-US"/>
        </w:rPr>
        <w:t>A regulatory framework for civil society remains to be established</w:t>
      </w:r>
      <w:r w:rsidRPr="002F67B6">
        <w:rPr>
          <w:rFonts w:eastAsiaTheme="minorHAnsi" w:cstheme="minorBidi"/>
          <w:noProof/>
          <w:szCs w:val="22"/>
          <w:lang w:eastAsia="en-US"/>
        </w:rPr>
        <w:t xml:space="preserve">. </w:t>
      </w:r>
      <w:bookmarkEnd w:id="24"/>
      <w:r w:rsidRPr="002F67B6">
        <w:rPr>
          <w:rFonts w:eastAsiaTheme="minorHAnsi" w:cstheme="minorBidi"/>
          <w:noProof/>
          <w:szCs w:val="22"/>
          <w:lang w:eastAsia="en-US"/>
        </w:rPr>
        <w:t>The civic space in Malta continues to be rated by Civicus as ‘narrowed’</w:t>
      </w:r>
      <w:r w:rsidRPr="002F67B6">
        <w:rPr>
          <w:rFonts w:eastAsiaTheme="minorHAnsi" w:cstheme="minorBidi"/>
          <w:noProof/>
          <w:szCs w:val="22"/>
          <w:vertAlign w:val="superscript"/>
          <w:lang w:eastAsia="en-US"/>
        </w:rPr>
        <w:footnoteReference w:id="167"/>
      </w:r>
      <w:r w:rsidRPr="002F67B6">
        <w:rPr>
          <w:rFonts w:eastAsiaTheme="minorHAnsi" w:cstheme="minorBidi"/>
          <w:noProof/>
          <w:szCs w:val="22"/>
          <w:lang w:eastAsia="en-US"/>
        </w:rPr>
        <w:t>. The Government has yet to table</w:t>
      </w:r>
      <w:r w:rsidRPr="002F67B6" w:rsidDel="003D2D61">
        <w:rPr>
          <w:rFonts w:eastAsiaTheme="minorHAnsi" w:cstheme="minorBidi"/>
          <w:noProof/>
          <w:szCs w:val="22"/>
          <w:lang w:eastAsia="en-US"/>
        </w:rPr>
        <w:t xml:space="preserve"> </w:t>
      </w:r>
      <w:r w:rsidRPr="002F67B6">
        <w:rPr>
          <w:rFonts w:eastAsiaTheme="minorHAnsi" w:cstheme="minorBidi"/>
          <w:noProof/>
          <w:szCs w:val="22"/>
          <w:lang w:eastAsia="en-US"/>
        </w:rPr>
        <w:t>a draft law establishing a regulatory framework for civil society, following the public consultation led by the Commissioner for Voluntary Organisations in 2024</w:t>
      </w:r>
      <w:r w:rsidRPr="002F67B6">
        <w:rPr>
          <w:rFonts w:eastAsiaTheme="minorHAnsi" w:cstheme="minorBidi"/>
          <w:noProof/>
          <w:szCs w:val="22"/>
          <w:vertAlign w:val="superscript"/>
          <w:lang w:eastAsia="en-US"/>
        </w:rPr>
        <w:footnoteReference w:id="168"/>
      </w:r>
      <w:r w:rsidRPr="002F67B6">
        <w:rPr>
          <w:rFonts w:eastAsiaTheme="minorHAnsi" w:cstheme="minorBidi"/>
          <w:noProof/>
          <w:szCs w:val="22"/>
          <w:lang w:eastAsia="en-US"/>
        </w:rPr>
        <w:t>. The envisaged Voluntary Organisations and the Non-Profit Organisations Act would aim to strengthen the legal recognition of the sector and reduce administrative and bureaucratic burdens</w:t>
      </w:r>
      <w:r w:rsidRPr="002F67B6">
        <w:rPr>
          <w:rFonts w:eastAsiaTheme="minorHAnsi" w:cstheme="minorBidi"/>
          <w:noProof/>
          <w:szCs w:val="22"/>
          <w:vertAlign w:val="superscript"/>
          <w:lang w:eastAsia="en-US"/>
        </w:rPr>
        <w:footnoteReference w:id="169"/>
      </w:r>
      <w:r w:rsidRPr="002F67B6">
        <w:rPr>
          <w:rFonts w:eastAsiaTheme="minorHAnsi" w:cstheme="minorBidi"/>
          <w:noProof/>
          <w:szCs w:val="22"/>
          <w:lang w:eastAsia="en-US"/>
        </w:rPr>
        <w:t xml:space="preserve">. In December 2025, </w:t>
      </w:r>
      <w:r w:rsidRPr="002F67B6">
        <w:rPr>
          <w:rFonts w:eastAsiaTheme="minorHAnsi" w:cstheme="minorBidi"/>
          <w:noProof/>
          <w:color w:val="000000" w:themeColor="text1"/>
          <w:szCs w:val="22"/>
          <w:lang w:eastAsia="en-US"/>
        </w:rPr>
        <w:t>the Government adopted a volunteering strategy 2025-2030</w:t>
      </w:r>
      <w:r w:rsidRPr="002F67B6">
        <w:rPr>
          <w:rFonts w:eastAsiaTheme="minorHAnsi" w:cstheme="minorBidi"/>
          <w:noProof/>
          <w:color w:val="000000" w:themeColor="text1"/>
          <w:szCs w:val="22"/>
          <w:vertAlign w:val="superscript"/>
          <w:lang w:eastAsia="en-US"/>
        </w:rPr>
        <w:footnoteReference w:id="170"/>
      </w:r>
      <w:r w:rsidRPr="002F67B6">
        <w:rPr>
          <w:rFonts w:eastAsiaTheme="minorHAnsi" w:cstheme="minorBidi"/>
          <w:noProof/>
          <w:color w:val="000000" w:themeColor="text1"/>
          <w:szCs w:val="22"/>
          <w:lang w:eastAsia="en-US"/>
        </w:rPr>
        <w:t>, with the aim to highlight the resources needed while fostering participation, engagement and collaboration. Stakeholders consider that the new strategy is yet to lead to concrete improvements</w:t>
      </w:r>
      <w:r w:rsidRPr="002F67B6">
        <w:rPr>
          <w:rFonts w:eastAsiaTheme="minorHAnsi" w:cstheme="minorBidi"/>
          <w:noProof/>
          <w:color w:val="000000" w:themeColor="text1"/>
          <w:szCs w:val="22"/>
          <w:vertAlign w:val="superscript"/>
          <w:lang w:eastAsia="en-US"/>
        </w:rPr>
        <w:footnoteReference w:id="171"/>
      </w:r>
      <w:r w:rsidRPr="002F67B6">
        <w:rPr>
          <w:rFonts w:eastAsiaTheme="minorHAnsi" w:cstheme="minorBidi"/>
          <w:noProof/>
          <w:color w:val="000000" w:themeColor="text1"/>
          <w:szCs w:val="22"/>
          <w:lang w:eastAsia="en-US"/>
        </w:rPr>
        <w:t>. The 2025 ODIHR report on the situation of human rights defenders in Malta did not lead to further initiatives by the Government to follow up on its recommendations</w:t>
      </w:r>
      <w:r w:rsidRPr="002F67B6">
        <w:rPr>
          <w:rFonts w:eastAsiaTheme="minorHAnsi" w:cstheme="minorBidi"/>
          <w:noProof/>
          <w:szCs w:val="22"/>
          <w:vertAlign w:val="superscript"/>
          <w:lang w:eastAsia="en-US"/>
        </w:rPr>
        <w:footnoteReference w:id="172"/>
      </w:r>
      <w:r w:rsidRPr="002F67B6">
        <w:rPr>
          <w:rFonts w:eastAsiaTheme="minorHAnsi" w:cstheme="minorBidi"/>
          <w:noProof/>
          <w:color w:val="000000" w:themeColor="text1"/>
          <w:szCs w:val="22"/>
          <w:lang w:eastAsia="en-US"/>
        </w:rPr>
        <w:t>.</w:t>
      </w:r>
      <w:r w:rsidRPr="002F67B6">
        <w:rPr>
          <w:rFonts w:eastAsiaTheme="minorHAnsi" w:cstheme="minorBidi"/>
          <w:noProof/>
          <w:szCs w:val="22"/>
          <w:lang w:eastAsia="en-US"/>
        </w:rPr>
        <w:t xml:space="preserve"> Some stakeholders raised concerns about </w:t>
      </w:r>
      <w:r w:rsidRPr="002F67B6">
        <w:rPr>
          <w:rFonts w:eastAsiaTheme="minorHAnsi" w:cstheme="minorBidi"/>
          <w:noProof/>
          <w:szCs w:val="22"/>
          <w:lang w:val="en-US" w:eastAsia="en-US"/>
        </w:rPr>
        <w:t>statements by political actors which might have the effect of</w:t>
      </w:r>
      <w:r w:rsidRPr="002F67B6">
        <w:rPr>
          <w:rFonts w:eastAsiaTheme="minorHAnsi" w:cstheme="minorBidi"/>
          <w:noProof/>
          <w:szCs w:val="22"/>
          <w:lang w:eastAsia="en-US"/>
        </w:rPr>
        <w:t xml:space="preserve"> undermining public trust in civil society organisations</w:t>
      </w:r>
      <w:r w:rsidRPr="002F67B6">
        <w:rPr>
          <w:rFonts w:eastAsiaTheme="minorHAnsi" w:cstheme="minorBidi"/>
          <w:noProof/>
          <w:szCs w:val="22"/>
          <w:vertAlign w:val="superscript"/>
          <w:lang w:eastAsia="en-US"/>
        </w:rPr>
        <w:footnoteReference w:id="173"/>
      </w:r>
      <w:r w:rsidRPr="002F67B6">
        <w:rPr>
          <w:rFonts w:eastAsiaTheme="minorHAnsi" w:cstheme="minorBidi"/>
          <w:noProof/>
          <w:szCs w:val="22"/>
          <w:lang w:eastAsia="en-US"/>
        </w:rPr>
        <w:t>.</w:t>
      </w:r>
    </w:p>
    <w:p w14:paraId="57972377" w14:textId="77777777" w:rsidR="002F67B6" w:rsidRPr="002F67B6" w:rsidRDefault="002F67B6" w:rsidP="002F67B6">
      <w:pPr>
        <w:rPr>
          <w:rFonts w:eastAsia="Calibri" w:cstheme="minorBidi"/>
          <w:noProof/>
          <w:szCs w:val="22"/>
          <w:lang w:eastAsia="en-US"/>
        </w:rPr>
      </w:pPr>
    </w:p>
    <w:p w14:paraId="5C388098" w14:textId="77777777" w:rsidR="002F67B6" w:rsidRPr="002F67B6" w:rsidRDefault="002F67B6" w:rsidP="002F67B6">
      <w:pPr>
        <w:pageBreakBefore/>
        <w:spacing w:after="120" w:line="264" w:lineRule="auto"/>
        <w:rPr>
          <w:b/>
          <w:noProof/>
          <w:szCs w:val="22"/>
          <w:lang w:eastAsia="en-GB"/>
        </w:rPr>
      </w:pPr>
      <w:r w:rsidRPr="002F67B6">
        <w:rPr>
          <w:b/>
          <w:noProof/>
          <w:szCs w:val="22"/>
          <w:lang w:eastAsia="en-GB"/>
        </w:rPr>
        <w:t>Annex I: List of sources in alphabetical order*</w:t>
      </w:r>
    </w:p>
    <w:p w14:paraId="7EAA32D0" w14:textId="21568554" w:rsidR="002F67B6" w:rsidRPr="002F67B6" w:rsidRDefault="002F67B6" w:rsidP="002F67B6">
      <w:pPr>
        <w:spacing w:after="120"/>
        <w:rPr>
          <w:i/>
          <w:noProof/>
          <w:sz w:val="22"/>
          <w:szCs w:val="22"/>
          <w:lang w:eastAsia="en-GB"/>
        </w:rPr>
      </w:pPr>
      <w:r w:rsidRPr="002F67B6">
        <w:rPr>
          <w:i/>
          <w:noProof/>
          <w:sz w:val="22"/>
          <w:szCs w:val="22"/>
          <w:lang w:eastAsia="en-GB"/>
        </w:rPr>
        <w:t xml:space="preserve">* The list of contributions received in the context of the consultation for the 2026 Rule of Law Report can be found at </w:t>
      </w:r>
      <w:hyperlink r:id="rId22" w:history="1">
        <w:r w:rsidR="007A564B" w:rsidRPr="007A564B">
          <w:rPr>
            <w:rStyle w:val="Hyperlink"/>
            <w:i/>
            <w:noProof/>
            <w:sz w:val="22"/>
            <w:szCs w:val="22"/>
            <w:lang w:val="en-US" w:eastAsia="en-GB"/>
          </w:rPr>
          <w:t>https://commission.europa.eu/publications/2026-rule-law-report-targeted-stakeholder-consultation_en</w:t>
        </w:r>
      </w:hyperlink>
      <w:r w:rsidRPr="002F67B6">
        <w:rPr>
          <w:i/>
          <w:noProof/>
          <w:sz w:val="22"/>
          <w:szCs w:val="22"/>
          <w:lang w:eastAsia="en-GB"/>
        </w:rPr>
        <w:t>.</w:t>
      </w:r>
    </w:p>
    <w:p w14:paraId="626C4F78" w14:textId="77777777" w:rsidR="002F67B6" w:rsidRPr="002F67B6" w:rsidRDefault="002F67B6" w:rsidP="002F67B6">
      <w:pPr>
        <w:spacing w:after="120"/>
        <w:rPr>
          <w:noProof/>
          <w:sz w:val="22"/>
          <w:szCs w:val="22"/>
          <w:lang w:eastAsia="en-GB"/>
        </w:rPr>
      </w:pPr>
    </w:p>
    <w:p w14:paraId="70319CD0" w14:textId="77777777" w:rsidR="002F67B6" w:rsidRPr="002F67B6" w:rsidRDefault="002F67B6" w:rsidP="002F67B6">
      <w:pPr>
        <w:spacing w:after="120"/>
        <w:rPr>
          <w:i/>
          <w:noProof/>
          <w:sz w:val="22"/>
          <w:szCs w:val="22"/>
          <w:lang w:eastAsia="en-GB"/>
        </w:rPr>
      </w:pPr>
      <w:r w:rsidRPr="002F67B6">
        <w:rPr>
          <w:noProof/>
          <w:sz w:val="22"/>
          <w:szCs w:val="22"/>
          <w:lang w:eastAsia="en-GB"/>
        </w:rPr>
        <w:t>Aditus and Daphne Foundation (2026),</w:t>
      </w:r>
      <w:r w:rsidRPr="002F67B6">
        <w:rPr>
          <w:i/>
          <w:noProof/>
          <w:sz w:val="22"/>
          <w:szCs w:val="22"/>
          <w:lang w:eastAsia="en-GB"/>
        </w:rPr>
        <w:t xml:space="preserve"> Written input for the 2026 Rule of Law Report.</w:t>
      </w:r>
    </w:p>
    <w:p w14:paraId="3A59B8D2" w14:textId="70C961F2" w:rsidR="002F67B6" w:rsidRPr="002F67B6" w:rsidRDefault="002F67B6" w:rsidP="002F67B6">
      <w:pPr>
        <w:spacing w:after="120"/>
        <w:rPr>
          <w:rFonts w:eastAsiaTheme="minorHAnsi"/>
          <w:noProof/>
          <w:sz w:val="22"/>
          <w:szCs w:val="22"/>
          <w:lang w:eastAsia="en-US"/>
        </w:rPr>
      </w:pPr>
      <w:r w:rsidRPr="002F67B6">
        <w:rPr>
          <w:rFonts w:eastAsiaTheme="minorHAnsi"/>
          <w:noProof/>
          <w:sz w:val="22"/>
          <w:szCs w:val="22"/>
          <w:lang w:val="en-US" w:eastAsia="en-US"/>
        </w:rPr>
        <w:t>Aditus and Daphne Foundation (2026</w:t>
      </w:r>
      <w:r w:rsidR="00AC2F32">
        <w:rPr>
          <w:rFonts w:eastAsiaTheme="minorHAnsi"/>
          <w:noProof/>
          <w:sz w:val="22"/>
          <w:szCs w:val="22"/>
          <w:lang w:val="en-US" w:eastAsia="en-US"/>
        </w:rPr>
        <w:t>a</w:t>
      </w:r>
      <w:r w:rsidRPr="002F67B6">
        <w:rPr>
          <w:rFonts w:eastAsiaTheme="minorHAnsi"/>
          <w:noProof/>
          <w:sz w:val="22"/>
          <w:szCs w:val="22"/>
          <w:lang w:val="en-US" w:eastAsia="en-US"/>
        </w:rPr>
        <w:t>)</w:t>
      </w:r>
      <w:r w:rsidRPr="002F67B6">
        <w:rPr>
          <w:rFonts w:eastAsiaTheme="minorHAnsi"/>
          <w:noProof/>
          <w:sz w:val="22"/>
          <w:szCs w:val="22"/>
          <w:lang w:eastAsia="en-US"/>
        </w:rPr>
        <w:t xml:space="preserve">, </w:t>
      </w:r>
      <w:r w:rsidRPr="002F67B6">
        <w:rPr>
          <w:rFonts w:eastAsiaTheme="minorHAnsi"/>
          <w:i/>
          <w:noProof/>
          <w:sz w:val="22"/>
          <w:szCs w:val="22"/>
          <w:lang w:eastAsia="en-US"/>
        </w:rPr>
        <w:t>We call for a quick resolution in the appointment of the Chief Justice and caution against rushed amendments!</w:t>
      </w:r>
      <w:r w:rsidR="00F33733" w:rsidRPr="00F33733">
        <w:rPr>
          <w:rFonts w:eastAsiaTheme="minorHAnsi"/>
          <w:iCs/>
          <w:noProof/>
          <w:sz w:val="22"/>
          <w:szCs w:val="22"/>
          <w:lang w:eastAsia="en-US"/>
        </w:rPr>
        <w:t>,</w:t>
      </w:r>
      <w:r w:rsidRPr="002F67B6">
        <w:rPr>
          <w:rFonts w:eastAsiaTheme="minorHAnsi"/>
          <w:noProof/>
          <w:sz w:val="22"/>
          <w:szCs w:val="22"/>
          <w:lang w:eastAsia="en-US"/>
        </w:rPr>
        <w:t xml:space="preserve"> 2 March 2026</w:t>
      </w:r>
      <w:r w:rsidR="00F33733">
        <w:rPr>
          <w:rFonts w:eastAsiaTheme="minorHAnsi"/>
          <w:noProof/>
          <w:sz w:val="22"/>
          <w:szCs w:val="22"/>
          <w:lang w:eastAsia="en-US"/>
        </w:rPr>
        <w:t>,</w:t>
      </w:r>
      <w:r w:rsidRPr="002F67B6">
        <w:rPr>
          <w:rFonts w:eastAsiaTheme="minorHAnsi"/>
          <w:noProof/>
          <w:sz w:val="22"/>
          <w:szCs w:val="22"/>
          <w:lang w:eastAsia="en-US"/>
        </w:rPr>
        <w:t xml:space="preserve"> </w:t>
      </w:r>
      <w:hyperlink r:id="rId23" w:history="1">
        <w:r w:rsidRPr="002F67B6">
          <w:rPr>
            <w:rFonts w:eastAsiaTheme="minorHAnsi"/>
            <w:noProof/>
            <w:color w:val="0563C1" w:themeColor="hyperlink"/>
            <w:sz w:val="22"/>
            <w:szCs w:val="22"/>
            <w:u w:val="single"/>
            <w:lang w:eastAsia="en-US"/>
          </w:rPr>
          <w:t>https://aditus.org.mt/chief-justice-press-statement/</w:t>
        </w:r>
      </w:hyperlink>
      <w:r w:rsidRPr="002F67B6">
        <w:rPr>
          <w:rFonts w:eastAsiaTheme="minorHAnsi"/>
          <w:noProof/>
          <w:sz w:val="22"/>
          <w:szCs w:val="22"/>
          <w:lang w:eastAsia="en-US"/>
        </w:rPr>
        <w:t>.</w:t>
      </w:r>
    </w:p>
    <w:p w14:paraId="1F142170" w14:textId="004377AD" w:rsidR="002F67B6" w:rsidRPr="002F67B6" w:rsidRDefault="002F67B6" w:rsidP="002F67B6">
      <w:pPr>
        <w:spacing w:after="120"/>
        <w:rPr>
          <w:rFonts w:eastAsiaTheme="minorHAnsi"/>
          <w:noProof/>
          <w:sz w:val="22"/>
          <w:szCs w:val="22"/>
          <w:lang w:eastAsia="en-US"/>
        </w:rPr>
      </w:pPr>
      <w:r w:rsidRPr="002F67B6">
        <w:rPr>
          <w:rFonts w:eastAsiaTheme="minorHAnsi"/>
          <w:noProof/>
          <w:sz w:val="22"/>
          <w:szCs w:val="22"/>
          <w:lang w:eastAsia="en-US"/>
        </w:rPr>
        <w:t xml:space="preserve">Aditus Foundation (2025), </w:t>
      </w:r>
      <w:r w:rsidRPr="002F67B6">
        <w:rPr>
          <w:rFonts w:eastAsiaTheme="minorHAnsi"/>
          <w:i/>
          <w:noProof/>
          <w:sz w:val="22"/>
          <w:szCs w:val="22"/>
          <w:lang w:val="en-US" w:eastAsia="en-US"/>
        </w:rPr>
        <w:t>Bill 125 – In Genere Inquests</w:t>
      </w:r>
      <w:r w:rsidRPr="002F67B6">
        <w:rPr>
          <w:rFonts w:eastAsiaTheme="minorHAnsi"/>
          <w:noProof/>
          <w:sz w:val="22"/>
          <w:szCs w:val="22"/>
          <w:lang w:val="en-US" w:eastAsia="en-US"/>
        </w:rPr>
        <w:t xml:space="preserve">, 24 February 2025, </w:t>
      </w:r>
      <w:hyperlink r:id="rId24" w:history="1">
        <w:r w:rsidRPr="002F67B6">
          <w:rPr>
            <w:rFonts w:eastAsiaTheme="minorHAnsi"/>
            <w:noProof/>
            <w:color w:val="0563C1" w:themeColor="hyperlink"/>
            <w:sz w:val="22"/>
            <w:szCs w:val="22"/>
            <w:u w:val="single"/>
            <w:lang w:val="en-US" w:eastAsia="en-US"/>
          </w:rPr>
          <w:t>https://aditus.org.mt/bill-125-in-genere-inquests/</w:t>
        </w:r>
      </w:hyperlink>
      <w:r w:rsidRPr="002F67B6">
        <w:rPr>
          <w:rFonts w:eastAsiaTheme="minorHAnsi"/>
          <w:noProof/>
          <w:sz w:val="22"/>
          <w:szCs w:val="22"/>
          <w:lang w:eastAsia="en-US"/>
        </w:rPr>
        <w:t>.</w:t>
      </w:r>
    </w:p>
    <w:p w14:paraId="625394A9" w14:textId="0C61BECA" w:rsidR="002F67B6" w:rsidRPr="002F67B6" w:rsidRDefault="002F67B6" w:rsidP="002F67B6">
      <w:pPr>
        <w:spacing w:after="120"/>
        <w:rPr>
          <w:rFonts w:eastAsiaTheme="minorHAnsi"/>
          <w:noProof/>
          <w:sz w:val="22"/>
          <w:szCs w:val="22"/>
          <w:lang w:eastAsia="en-US"/>
        </w:rPr>
      </w:pPr>
      <w:r w:rsidRPr="002F67B6">
        <w:rPr>
          <w:rFonts w:eastAsiaTheme="minorHAnsi"/>
          <w:noProof/>
          <w:sz w:val="22"/>
          <w:szCs w:val="22"/>
          <w:lang w:eastAsia="en-US"/>
        </w:rPr>
        <w:t xml:space="preserve">Aditus Foundation, Daphne Caruana Galizia Foundation, Repubblika (2025), </w:t>
      </w:r>
      <w:r w:rsidRPr="002F67B6">
        <w:rPr>
          <w:rFonts w:eastAsiaTheme="minorHAnsi"/>
          <w:i/>
          <w:noProof/>
          <w:sz w:val="22"/>
          <w:szCs w:val="22"/>
          <w:lang w:val="en-US" w:eastAsia="en-US"/>
        </w:rPr>
        <w:t>Bill 134: Rushed Judicial Constitutional Amendments without Consultation</w:t>
      </w:r>
      <w:r w:rsidRPr="002F67B6">
        <w:rPr>
          <w:rFonts w:eastAsiaTheme="minorHAnsi"/>
          <w:noProof/>
          <w:sz w:val="22"/>
          <w:szCs w:val="22"/>
          <w:lang w:val="en-US" w:eastAsia="en-US"/>
        </w:rPr>
        <w:t xml:space="preserve">, 22 May 2025, </w:t>
      </w:r>
      <w:hyperlink r:id="rId25" w:history="1">
        <w:r w:rsidRPr="002F67B6">
          <w:rPr>
            <w:rFonts w:eastAsiaTheme="minorHAnsi"/>
            <w:noProof/>
            <w:color w:val="0563C1" w:themeColor="hyperlink"/>
            <w:sz w:val="22"/>
            <w:szCs w:val="22"/>
            <w:u w:val="single"/>
            <w:lang w:val="en-US" w:eastAsia="en-US"/>
          </w:rPr>
          <w:t>https://aditus.org.mt/bill-134-rushed-judicial-constitutional-amendments-without-consultation/</w:t>
        </w:r>
      </w:hyperlink>
      <w:r w:rsidRPr="002F67B6">
        <w:rPr>
          <w:rFonts w:eastAsiaTheme="minorHAnsi"/>
          <w:noProof/>
          <w:sz w:val="22"/>
          <w:szCs w:val="22"/>
          <w:lang w:eastAsia="en-US"/>
        </w:rPr>
        <w:t>.</w:t>
      </w:r>
    </w:p>
    <w:p w14:paraId="791A7EB8" w14:textId="21A305A1" w:rsidR="002F67B6" w:rsidRPr="002F67B6" w:rsidRDefault="002F67B6" w:rsidP="002F67B6">
      <w:pPr>
        <w:spacing w:after="120"/>
        <w:rPr>
          <w:rFonts w:eastAsiaTheme="minorHAnsi"/>
          <w:i/>
          <w:noProof/>
          <w:sz w:val="22"/>
          <w:szCs w:val="22"/>
          <w:lang w:eastAsia="en-US"/>
        </w:rPr>
      </w:pPr>
      <w:r w:rsidRPr="002F67B6">
        <w:rPr>
          <w:rFonts w:eastAsiaTheme="minorHAnsi"/>
          <w:noProof/>
          <w:sz w:val="22"/>
          <w:szCs w:val="22"/>
          <w:lang w:eastAsia="en-US"/>
        </w:rPr>
        <w:t xml:space="preserve">Birdlife Malta (2025), </w:t>
      </w:r>
      <w:r w:rsidRPr="002F67B6">
        <w:rPr>
          <w:rFonts w:eastAsiaTheme="minorHAnsi"/>
          <w:i/>
          <w:noProof/>
          <w:sz w:val="22"/>
          <w:szCs w:val="22"/>
          <w:lang w:val="en-US" w:eastAsia="en-US"/>
        </w:rPr>
        <w:t>Thousands protest in Valletta against government’s controversial planning reform</w:t>
      </w:r>
      <w:r w:rsidRPr="002F67B6">
        <w:rPr>
          <w:rFonts w:eastAsiaTheme="minorHAnsi"/>
          <w:noProof/>
          <w:sz w:val="22"/>
          <w:szCs w:val="22"/>
          <w:lang w:eastAsia="en-US"/>
        </w:rPr>
        <w:t>, 4 October 2025</w:t>
      </w:r>
      <w:r w:rsidRPr="002F67B6">
        <w:rPr>
          <w:rFonts w:eastAsiaTheme="minorHAnsi"/>
          <w:i/>
          <w:noProof/>
          <w:sz w:val="22"/>
          <w:szCs w:val="22"/>
          <w:lang w:eastAsia="en-US"/>
        </w:rPr>
        <w:t xml:space="preserve"> </w:t>
      </w:r>
      <w:hyperlink r:id="rId26" w:history="1">
        <w:r w:rsidRPr="002F67B6">
          <w:rPr>
            <w:rFonts w:eastAsiaTheme="minorHAnsi"/>
            <w:noProof/>
            <w:color w:val="0563C1" w:themeColor="hyperlink"/>
            <w:sz w:val="22"/>
            <w:szCs w:val="22"/>
            <w:u w:val="single"/>
            <w:lang w:val="en-US" w:eastAsia="en-US"/>
          </w:rPr>
          <w:t>https://birdlifemalta.org/2025/10/thousands-protest-in-valletta-against-governments-controversial-planning-reform/</w:t>
        </w:r>
      </w:hyperlink>
      <w:r w:rsidRPr="002F67B6">
        <w:rPr>
          <w:rFonts w:eastAsiaTheme="minorHAnsi"/>
          <w:noProof/>
          <w:sz w:val="22"/>
          <w:szCs w:val="22"/>
          <w:lang w:eastAsia="en-US"/>
        </w:rPr>
        <w:t>.</w:t>
      </w:r>
    </w:p>
    <w:p w14:paraId="087C63D7" w14:textId="77777777" w:rsidR="002F67B6" w:rsidRPr="002F67B6" w:rsidRDefault="002F67B6" w:rsidP="002F67B6">
      <w:pPr>
        <w:spacing w:after="120"/>
        <w:rPr>
          <w:noProof/>
          <w:sz w:val="22"/>
          <w:szCs w:val="22"/>
          <w:lang w:eastAsia="en-GB"/>
        </w:rPr>
      </w:pPr>
      <w:r w:rsidRPr="002F67B6">
        <w:rPr>
          <w:rFonts w:eastAsiaTheme="minorHAnsi"/>
          <w:noProof/>
          <w:sz w:val="22"/>
          <w:szCs w:val="22"/>
          <w:lang w:eastAsia="en-US"/>
        </w:rPr>
        <w:t xml:space="preserve">CEPEJ (2026), </w:t>
      </w:r>
      <w:r w:rsidRPr="002F67B6">
        <w:rPr>
          <w:rFonts w:eastAsiaTheme="minorHAnsi"/>
          <w:i/>
          <w:noProof/>
          <w:sz w:val="22"/>
          <w:szCs w:val="22"/>
          <w:lang w:eastAsia="en-US"/>
        </w:rPr>
        <w:t>Study on the functioning of the judicial system in the EU Member States</w:t>
      </w:r>
      <w:r w:rsidRPr="002F67B6">
        <w:rPr>
          <w:rFonts w:eastAsiaTheme="minorHAnsi"/>
          <w:noProof/>
          <w:sz w:val="22"/>
          <w:szCs w:val="22"/>
          <w:lang w:eastAsia="en-US"/>
        </w:rPr>
        <w:t>.</w:t>
      </w:r>
    </w:p>
    <w:p w14:paraId="270EE07C" w14:textId="34FFC54E" w:rsidR="002F67B6" w:rsidRPr="002F67B6" w:rsidRDefault="002F67B6" w:rsidP="002F67B6">
      <w:pPr>
        <w:spacing w:after="120"/>
        <w:rPr>
          <w:noProof/>
          <w:sz w:val="22"/>
          <w:szCs w:val="22"/>
          <w:lang w:eastAsia="en-GB"/>
        </w:rPr>
      </w:pPr>
      <w:r w:rsidRPr="002F67B6">
        <w:rPr>
          <w:rFonts w:eastAsiaTheme="minorHAnsi"/>
          <w:noProof/>
          <w:sz w:val="22"/>
          <w:szCs w:val="22"/>
          <w:lang w:eastAsia="en-US"/>
        </w:rPr>
        <w:t xml:space="preserve">CEPEJ (2025), </w:t>
      </w:r>
      <w:r w:rsidRPr="002F67B6">
        <w:rPr>
          <w:rFonts w:eastAsiaTheme="minorHAnsi"/>
          <w:i/>
          <w:noProof/>
          <w:sz w:val="22"/>
          <w:szCs w:val="22"/>
          <w:lang w:eastAsia="en-US"/>
        </w:rPr>
        <w:t xml:space="preserve">Study on the functioning of the judicial system in the EU Member States, </w:t>
      </w:r>
      <w:hyperlink r:id="rId27" w:history="1">
        <w:r w:rsidRPr="002F67B6">
          <w:rPr>
            <w:rFonts w:eastAsiaTheme="minorHAnsi"/>
            <w:noProof/>
            <w:color w:val="0563C1" w:themeColor="hyperlink"/>
            <w:sz w:val="22"/>
            <w:szCs w:val="22"/>
            <w:u w:val="single"/>
            <w:lang w:eastAsia="en-US"/>
          </w:rPr>
          <w:t>https://commission.europa.eu/document/download/8cdf178c-a54e-4c6f-ae3d-8c05013e5366_en?filename=Part%201%20-%20Data%20tables%20per%20indicator%20for%20all%20EU%20Member%20States.pdf</w:t>
        </w:r>
      </w:hyperlink>
      <w:r w:rsidRPr="002F67B6">
        <w:rPr>
          <w:rFonts w:eastAsiaTheme="minorHAnsi"/>
          <w:noProof/>
          <w:sz w:val="22"/>
          <w:szCs w:val="22"/>
          <w:lang w:eastAsia="en-US"/>
        </w:rPr>
        <w:t>.</w:t>
      </w:r>
    </w:p>
    <w:p w14:paraId="00C6C36D" w14:textId="689D26CA" w:rsidR="002F67B6" w:rsidRPr="002F67B6" w:rsidRDefault="002F67B6" w:rsidP="002F67B6">
      <w:pPr>
        <w:spacing w:after="120"/>
        <w:rPr>
          <w:rFonts w:eastAsiaTheme="minorHAnsi"/>
          <w:noProof/>
          <w:sz w:val="22"/>
          <w:szCs w:val="22"/>
          <w:lang w:eastAsia="en-US"/>
        </w:rPr>
      </w:pPr>
      <w:r w:rsidRPr="002F67B6">
        <w:rPr>
          <w:rFonts w:eastAsiaTheme="minorHAnsi"/>
          <w:noProof/>
          <w:sz w:val="22"/>
          <w:szCs w:val="22"/>
          <w:lang w:eastAsia="en-US"/>
        </w:rPr>
        <w:t>Chamber of Advocates (2026a)</w:t>
      </w:r>
      <w:r w:rsidRPr="002F67B6">
        <w:rPr>
          <w:rFonts w:eastAsiaTheme="minorHAnsi"/>
          <w:noProof/>
          <w:sz w:val="22"/>
          <w:szCs w:val="22"/>
          <w:lang w:val="en-US" w:eastAsia="en-US"/>
        </w:rPr>
        <w:t xml:space="preserve">, </w:t>
      </w:r>
      <w:r w:rsidRPr="002F67B6">
        <w:rPr>
          <w:rFonts w:eastAsiaTheme="minorHAnsi"/>
          <w:i/>
          <w:noProof/>
          <w:sz w:val="22"/>
          <w:szCs w:val="22"/>
          <w:lang w:val="en-US" w:eastAsia="en-US"/>
        </w:rPr>
        <w:t>Stqarrija dwar il-Ħatra għall-Kariga ta’ Prim Imħallef tal-Qrati</w:t>
      </w:r>
      <w:r w:rsidRPr="002F67B6">
        <w:rPr>
          <w:rFonts w:eastAsiaTheme="minorHAnsi"/>
          <w:noProof/>
          <w:sz w:val="22"/>
          <w:szCs w:val="22"/>
          <w:lang w:eastAsia="en-US"/>
        </w:rPr>
        <w:t xml:space="preserve">, 25 February 2026, </w:t>
      </w:r>
      <w:hyperlink r:id="rId28" w:history="1">
        <w:r w:rsidRPr="002F67B6">
          <w:rPr>
            <w:rFonts w:eastAsiaTheme="minorHAnsi"/>
            <w:noProof/>
            <w:color w:val="0563C1" w:themeColor="hyperlink"/>
            <w:sz w:val="22"/>
            <w:szCs w:val="22"/>
            <w:u w:val="single"/>
            <w:lang w:eastAsia="en-US"/>
          </w:rPr>
          <w:t>https://avukati.org/news/stqarrija-dwar-il-hatra-ghall-kariga-ta-prim-imhallef-tal-qrati-2/</w:t>
        </w:r>
      </w:hyperlink>
      <w:r w:rsidRPr="002F67B6">
        <w:rPr>
          <w:rFonts w:eastAsiaTheme="minorHAnsi"/>
          <w:noProof/>
          <w:sz w:val="22"/>
          <w:szCs w:val="22"/>
          <w:lang w:eastAsia="en-US"/>
        </w:rPr>
        <w:t>.</w:t>
      </w:r>
    </w:p>
    <w:p w14:paraId="6443DFEC" w14:textId="7F637A65" w:rsidR="002F67B6" w:rsidRPr="002F67B6" w:rsidRDefault="002F67B6" w:rsidP="002F67B6">
      <w:pPr>
        <w:spacing w:after="120"/>
        <w:rPr>
          <w:rFonts w:eastAsiaTheme="minorHAnsi"/>
          <w:noProof/>
          <w:sz w:val="22"/>
          <w:szCs w:val="22"/>
          <w:lang w:eastAsia="en-US"/>
        </w:rPr>
      </w:pPr>
      <w:r w:rsidRPr="002F67B6">
        <w:rPr>
          <w:rFonts w:eastAsiaTheme="minorHAnsi"/>
          <w:noProof/>
          <w:sz w:val="22"/>
          <w:szCs w:val="22"/>
          <w:lang w:eastAsia="en-US"/>
        </w:rPr>
        <w:t xml:space="preserve">Chamber of Advocates (2026b), </w:t>
      </w:r>
      <w:r w:rsidRPr="002F67B6">
        <w:rPr>
          <w:rFonts w:eastAsiaTheme="minorHAnsi"/>
          <w:i/>
          <w:noProof/>
          <w:sz w:val="22"/>
          <w:szCs w:val="22"/>
          <w:lang w:eastAsia="en-US"/>
        </w:rPr>
        <w:t>Stqarrija dwar il-Ħatra għall-Kariga ta’ Prim Imħallef tal-Qrati</w:t>
      </w:r>
      <w:r w:rsidRPr="002F67B6">
        <w:rPr>
          <w:rFonts w:eastAsiaTheme="minorHAnsi"/>
          <w:noProof/>
          <w:sz w:val="22"/>
          <w:szCs w:val="22"/>
          <w:lang w:eastAsia="en-US"/>
        </w:rPr>
        <w:t xml:space="preserve">, 30 January 2026, </w:t>
      </w:r>
      <w:hyperlink r:id="rId29" w:history="1">
        <w:r w:rsidRPr="002F67B6">
          <w:rPr>
            <w:rFonts w:eastAsiaTheme="minorHAnsi"/>
            <w:noProof/>
            <w:color w:val="0563C1" w:themeColor="hyperlink"/>
            <w:sz w:val="22"/>
            <w:szCs w:val="22"/>
            <w:u w:val="single"/>
            <w:lang w:eastAsia="en-US"/>
          </w:rPr>
          <w:t>https://avukati.org/uncategorised/stqarrija-dwar-il-hatra-ghall-kariga-ta-prim-imhallef-tal-qrati/</w:t>
        </w:r>
      </w:hyperlink>
      <w:r w:rsidRPr="002F67B6">
        <w:rPr>
          <w:rFonts w:eastAsiaTheme="minorHAnsi"/>
          <w:noProof/>
          <w:sz w:val="22"/>
          <w:szCs w:val="22"/>
          <w:lang w:eastAsia="en-US"/>
        </w:rPr>
        <w:t>.</w:t>
      </w:r>
    </w:p>
    <w:p w14:paraId="1AF24AD6" w14:textId="77777777" w:rsidR="002F67B6" w:rsidRPr="002F67B6" w:rsidRDefault="002F67B6" w:rsidP="002F67B6">
      <w:pPr>
        <w:spacing w:after="120"/>
        <w:rPr>
          <w:rFonts w:eastAsiaTheme="minorHAnsi"/>
          <w:noProof/>
          <w:sz w:val="22"/>
          <w:szCs w:val="22"/>
          <w:lang w:eastAsia="en-US"/>
        </w:rPr>
      </w:pPr>
      <w:r w:rsidRPr="002F67B6">
        <w:rPr>
          <w:rFonts w:eastAsiaTheme="minorHAnsi"/>
          <w:noProof/>
          <w:sz w:val="22"/>
          <w:szCs w:val="22"/>
          <w:lang w:eastAsia="en-US"/>
        </w:rPr>
        <w:t xml:space="preserve">Chamber of Advocates (2026), </w:t>
      </w:r>
      <w:r w:rsidRPr="002F67B6">
        <w:rPr>
          <w:i/>
          <w:noProof/>
          <w:sz w:val="22"/>
          <w:szCs w:val="22"/>
          <w:lang w:eastAsia="en-GB"/>
        </w:rPr>
        <w:t>Written input for the 2026 Rule of Law Report</w:t>
      </w:r>
      <w:r w:rsidRPr="002F67B6">
        <w:rPr>
          <w:rFonts w:eastAsiaTheme="minorHAnsi"/>
          <w:noProof/>
          <w:sz w:val="22"/>
          <w:szCs w:val="22"/>
          <w:lang w:eastAsia="en-US"/>
        </w:rPr>
        <w:t xml:space="preserve"> </w:t>
      </w:r>
      <w:r w:rsidRPr="002F67B6">
        <w:rPr>
          <w:rFonts w:eastAsiaTheme="minorHAnsi"/>
          <w:i/>
          <w:noProof/>
          <w:sz w:val="22"/>
          <w:szCs w:val="22"/>
          <w:lang w:eastAsia="en-US"/>
        </w:rPr>
        <w:t>via CCBE</w:t>
      </w:r>
      <w:r w:rsidRPr="002F67B6">
        <w:rPr>
          <w:rFonts w:eastAsiaTheme="minorHAnsi"/>
          <w:noProof/>
          <w:sz w:val="22"/>
          <w:szCs w:val="22"/>
          <w:lang w:eastAsia="en-US"/>
        </w:rPr>
        <w:t>.</w:t>
      </w:r>
    </w:p>
    <w:p w14:paraId="5C2DBA79" w14:textId="1C9CC11D" w:rsidR="002F67B6" w:rsidRPr="002F67B6" w:rsidRDefault="002F67B6" w:rsidP="002F67B6">
      <w:pPr>
        <w:spacing w:after="120"/>
        <w:rPr>
          <w:rFonts w:eastAsiaTheme="minorHAnsi"/>
          <w:noProof/>
          <w:sz w:val="22"/>
          <w:szCs w:val="22"/>
          <w:lang w:eastAsia="en-US"/>
        </w:rPr>
      </w:pPr>
      <w:r w:rsidRPr="002F67B6">
        <w:rPr>
          <w:rFonts w:eastAsiaTheme="minorHAnsi"/>
          <w:noProof/>
          <w:sz w:val="22"/>
          <w:szCs w:val="22"/>
          <w:lang w:eastAsia="en-US"/>
        </w:rPr>
        <w:t xml:space="preserve">Chamber of Advocates (2025a), </w:t>
      </w:r>
      <w:r w:rsidRPr="002F67B6">
        <w:rPr>
          <w:rFonts w:eastAsiaTheme="minorHAnsi"/>
          <w:i/>
          <w:noProof/>
          <w:sz w:val="22"/>
          <w:szCs w:val="22"/>
          <w:lang w:eastAsia="en-US"/>
        </w:rPr>
        <w:t>Speech of President Peter Fenech at the opening of the judicial year</w:t>
      </w:r>
      <w:r w:rsidRPr="002F67B6">
        <w:rPr>
          <w:rFonts w:eastAsiaTheme="minorHAnsi"/>
          <w:noProof/>
          <w:sz w:val="22"/>
          <w:szCs w:val="22"/>
          <w:lang w:eastAsia="en-US"/>
        </w:rPr>
        <w:t xml:space="preserve">, </w:t>
      </w:r>
      <w:r w:rsidR="0016361D">
        <w:rPr>
          <w:rFonts w:eastAsiaTheme="minorHAnsi"/>
          <w:noProof/>
          <w:sz w:val="22"/>
          <w:szCs w:val="22"/>
          <w:lang w:eastAsia="en-US"/>
        </w:rPr>
        <w:t>1</w:t>
      </w:r>
      <w:r w:rsidRPr="002F67B6">
        <w:rPr>
          <w:rFonts w:eastAsiaTheme="minorHAnsi"/>
          <w:noProof/>
          <w:sz w:val="22"/>
          <w:szCs w:val="22"/>
          <w:lang w:eastAsia="en-US"/>
        </w:rPr>
        <w:t xml:space="preserve"> October 2025.</w:t>
      </w:r>
    </w:p>
    <w:p w14:paraId="61579FC7" w14:textId="77777777" w:rsidR="002F67B6" w:rsidRPr="002F67B6" w:rsidRDefault="002F67B6" w:rsidP="002F67B6">
      <w:pPr>
        <w:spacing w:after="120"/>
        <w:rPr>
          <w:rFonts w:eastAsiaTheme="minorHAnsi"/>
          <w:noProof/>
          <w:sz w:val="22"/>
          <w:szCs w:val="22"/>
          <w:lang w:eastAsia="en-US"/>
        </w:rPr>
      </w:pPr>
      <w:r w:rsidRPr="002F67B6">
        <w:rPr>
          <w:rFonts w:eastAsiaTheme="minorHAnsi"/>
          <w:noProof/>
          <w:sz w:val="22"/>
          <w:szCs w:val="22"/>
          <w:lang w:eastAsia="en-US"/>
        </w:rPr>
        <w:t xml:space="preserve">Chamber of Advocates (2025b), </w:t>
      </w:r>
      <w:r w:rsidRPr="002F67B6">
        <w:rPr>
          <w:rFonts w:eastAsiaTheme="minorHAnsi"/>
          <w:i/>
          <w:noProof/>
          <w:sz w:val="22"/>
          <w:szCs w:val="22"/>
          <w:lang w:eastAsia="en-US"/>
        </w:rPr>
        <w:t>Public Statement on the Protection of Agricultural Leases Regulations</w:t>
      </w:r>
      <w:r w:rsidRPr="002F67B6">
        <w:rPr>
          <w:rFonts w:eastAsiaTheme="minorHAnsi"/>
          <w:noProof/>
          <w:sz w:val="22"/>
          <w:szCs w:val="22"/>
          <w:lang w:eastAsia="en-US"/>
        </w:rPr>
        <w:t xml:space="preserve">, 18 August 2025, </w:t>
      </w:r>
      <w:hyperlink r:id="rId30" w:history="1">
        <w:r w:rsidRPr="002F67B6">
          <w:rPr>
            <w:rFonts w:eastAsiaTheme="minorHAnsi"/>
            <w:noProof/>
            <w:color w:val="0563C1" w:themeColor="hyperlink"/>
            <w:sz w:val="22"/>
            <w:szCs w:val="22"/>
            <w:u w:val="single"/>
            <w:lang w:eastAsia="en-US"/>
          </w:rPr>
          <w:t>https://avukati.org/news/public-statement-on-the-protection-of-agricultural-land-regulations/</w:t>
        </w:r>
      </w:hyperlink>
      <w:r w:rsidRPr="002F67B6">
        <w:rPr>
          <w:rFonts w:eastAsiaTheme="minorHAnsi"/>
          <w:noProof/>
          <w:sz w:val="22"/>
          <w:szCs w:val="22"/>
          <w:lang w:eastAsia="en-US"/>
        </w:rPr>
        <w:t>.</w:t>
      </w:r>
    </w:p>
    <w:p w14:paraId="79997DBD" w14:textId="25F07DC6" w:rsidR="002F67B6" w:rsidRPr="002F67B6" w:rsidRDefault="002F67B6" w:rsidP="002F67B6">
      <w:pPr>
        <w:spacing w:after="120"/>
        <w:rPr>
          <w:noProof/>
          <w:sz w:val="22"/>
          <w:szCs w:val="22"/>
          <w:lang w:eastAsia="en-GB"/>
        </w:rPr>
      </w:pPr>
      <w:r w:rsidRPr="002F67B6">
        <w:rPr>
          <w:rFonts w:eastAsiaTheme="minorHAnsi"/>
          <w:noProof/>
          <w:sz w:val="22"/>
          <w:szCs w:val="22"/>
          <w:lang w:eastAsia="en-US"/>
        </w:rPr>
        <w:t xml:space="preserve">Chamber of Advocates (2025c), </w:t>
      </w:r>
      <w:r w:rsidRPr="002F67B6">
        <w:rPr>
          <w:rFonts w:eastAsiaTheme="minorHAnsi"/>
          <w:i/>
          <w:noProof/>
          <w:sz w:val="22"/>
          <w:szCs w:val="22"/>
          <w:lang w:eastAsia="en-US"/>
        </w:rPr>
        <w:t xml:space="preserve">PA Bills Statement from the Chamber of Advocates, </w:t>
      </w:r>
      <w:r w:rsidRPr="002F67B6">
        <w:rPr>
          <w:rFonts w:eastAsiaTheme="minorHAnsi"/>
          <w:noProof/>
          <w:sz w:val="22"/>
          <w:szCs w:val="22"/>
          <w:lang w:eastAsia="en-US"/>
        </w:rPr>
        <w:t xml:space="preserve">5 August 2025, </w:t>
      </w:r>
      <w:hyperlink r:id="rId31" w:history="1">
        <w:r w:rsidRPr="002F67B6">
          <w:rPr>
            <w:rFonts w:eastAsiaTheme="minorHAnsi"/>
            <w:noProof/>
            <w:color w:val="0563C1" w:themeColor="hyperlink"/>
            <w:sz w:val="22"/>
            <w:szCs w:val="22"/>
            <w:u w:val="single"/>
            <w:lang w:eastAsia="en-US"/>
          </w:rPr>
          <w:t>https://avukati.org/news/pa-bills-statement-from-the-chamber-of-advocates/</w:t>
        </w:r>
      </w:hyperlink>
      <w:r w:rsidR="00CB4858">
        <w:rPr>
          <w:rFonts w:eastAsiaTheme="minorHAnsi"/>
          <w:noProof/>
          <w:sz w:val="22"/>
          <w:szCs w:val="22"/>
          <w:lang w:eastAsia="en-US"/>
        </w:rPr>
        <w:t>.</w:t>
      </w:r>
    </w:p>
    <w:p w14:paraId="1079C3CF" w14:textId="5113352F" w:rsidR="002F67B6" w:rsidRPr="002F67B6" w:rsidRDefault="002F67B6" w:rsidP="002F67B6">
      <w:pPr>
        <w:spacing w:after="120"/>
        <w:rPr>
          <w:rFonts w:eastAsiaTheme="minorHAnsi"/>
          <w:noProof/>
          <w:sz w:val="22"/>
          <w:szCs w:val="22"/>
          <w:lang w:eastAsia="en-US"/>
        </w:rPr>
      </w:pPr>
      <w:r w:rsidRPr="002F67B6">
        <w:rPr>
          <w:rFonts w:eastAsiaTheme="minorHAnsi"/>
          <w:noProof/>
          <w:sz w:val="22"/>
          <w:szCs w:val="22"/>
          <w:lang w:eastAsia="en-US"/>
        </w:rPr>
        <w:t xml:space="preserve">Chamber of Commerce (2025), </w:t>
      </w:r>
      <w:r w:rsidRPr="002F67B6">
        <w:rPr>
          <w:rFonts w:eastAsiaTheme="minorHAnsi"/>
          <w:i/>
          <w:noProof/>
          <w:sz w:val="22"/>
          <w:szCs w:val="22"/>
          <w:lang w:eastAsia="en-US"/>
        </w:rPr>
        <w:t>Quest for Truth and Justice</w:t>
      </w:r>
      <w:r w:rsidRPr="002F67B6">
        <w:rPr>
          <w:rFonts w:eastAsiaTheme="minorHAnsi"/>
          <w:noProof/>
          <w:sz w:val="22"/>
          <w:szCs w:val="22"/>
          <w:lang w:eastAsia="en-US"/>
        </w:rPr>
        <w:t>,</w:t>
      </w:r>
      <w:r w:rsidRPr="002F67B6">
        <w:rPr>
          <w:rFonts w:eastAsiaTheme="minorHAnsi"/>
          <w:i/>
          <w:noProof/>
          <w:sz w:val="22"/>
          <w:szCs w:val="22"/>
          <w:lang w:eastAsia="en-US"/>
        </w:rPr>
        <w:t xml:space="preserve"> </w:t>
      </w:r>
      <w:r w:rsidRPr="002F67B6">
        <w:rPr>
          <w:rFonts w:eastAsiaTheme="minorHAnsi"/>
          <w:noProof/>
          <w:sz w:val="22"/>
          <w:szCs w:val="22"/>
          <w:lang w:eastAsia="en-US"/>
        </w:rPr>
        <w:t xml:space="preserve">10 February 2025, </w:t>
      </w:r>
      <w:hyperlink r:id="rId32" w:history="1">
        <w:r w:rsidRPr="002F67B6">
          <w:rPr>
            <w:rFonts w:eastAsiaTheme="minorHAnsi"/>
            <w:noProof/>
            <w:color w:val="0563C1" w:themeColor="hyperlink"/>
            <w:sz w:val="22"/>
            <w:szCs w:val="22"/>
            <w:u w:val="single"/>
            <w:lang w:eastAsia="en-US"/>
          </w:rPr>
          <w:t>https://maltachamber.org.mt/quest-for-truth-and-justice/</w:t>
        </w:r>
      </w:hyperlink>
      <w:r w:rsidRPr="002F67B6">
        <w:rPr>
          <w:rFonts w:eastAsiaTheme="minorHAnsi"/>
          <w:i/>
          <w:noProof/>
          <w:sz w:val="22"/>
          <w:szCs w:val="22"/>
          <w:lang w:eastAsia="en-US"/>
        </w:rPr>
        <w:t>.</w:t>
      </w:r>
    </w:p>
    <w:p w14:paraId="2A599153" w14:textId="77777777" w:rsidR="002F67B6" w:rsidRPr="002F67B6" w:rsidRDefault="002F67B6" w:rsidP="002F67B6">
      <w:pPr>
        <w:spacing w:after="120"/>
        <w:rPr>
          <w:rFonts w:eastAsiaTheme="minorHAnsi"/>
          <w:noProof/>
          <w:sz w:val="22"/>
          <w:szCs w:val="22"/>
          <w:lang w:eastAsia="en-US"/>
        </w:rPr>
      </w:pPr>
      <w:r w:rsidRPr="002F67B6">
        <w:rPr>
          <w:rFonts w:eastAsiaTheme="minorHAnsi"/>
          <w:noProof/>
          <w:sz w:val="22"/>
          <w:szCs w:val="22"/>
          <w:lang w:eastAsia="en-US"/>
        </w:rPr>
        <w:t xml:space="preserve">Chief Justice (2025), </w:t>
      </w:r>
      <w:r w:rsidRPr="002F67B6">
        <w:rPr>
          <w:rFonts w:eastAsiaTheme="minorHAnsi"/>
          <w:i/>
          <w:noProof/>
          <w:sz w:val="22"/>
          <w:szCs w:val="22"/>
          <w:lang w:eastAsia="en-US"/>
        </w:rPr>
        <w:t>Speech on the inauguration of the judicial year</w:t>
      </w:r>
      <w:r w:rsidRPr="002F67B6">
        <w:rPr>
          <w:rFonts w:eastAsiaTheme="minorHAnsi"/>
          <w:noProof/>
          <w:sz w:val="22"/>
          <w:szCs w:val="22"/>
          <w:lang w:eastAsia="en-US"/>
        </w:rPr>
        <w:t>, 1</w:t>
      </w:r>
      <w:r w:rsidRPr="002F67B6">
        <w:rPr>
          <w:rFonts w:eastAsiaTheme="minorHAnsi"/>
          <w:noProof/>
          <w:sz w:val="22"/>
          <w:szCs w:val="22"/>
          <w:vertAlign w:val="superscript"/>
          <w:lang w:eastAsia="en-US"/>
        </w:rPr>
        <w:t>st</w:t>
      </w:r>
      <w:r w:rsidRPr="002F67B6">
        <w:rPr>
          <w:rFonts w:eastAsiaTheme="minorHAnsi"/>
          <w:noProof/>
          <w:sz w:val="22"/>
          <w:szCs w:val="22"/>
          <w:lang w:eastAsia="en-US"/>
        </w:rPr>
        <w:t xml:space="preserve"> October 2025, available </w:t>
      </w:r>
      <w:hyperlink r:id="rId33" w:tgtFrame="_blank" w:history="1">
        <w:r w:rsidRPr="002F67B6">
          <w:rPr>
            <w:rFonts w:eastAsiaTheme="minorHAnsi"/>
            <w:noProof/>
            <w:color w:val="0563C1" w:themeColor="hyperlink"/>
            <w:sz w:val="22"/>
            <w:szCs w:val="22"/>
            <w:u w:val="single"/>
            <w:lang w:eastAsia="en-US"/>
          </w:rPr>
          <w:t>here</w:t>
        </w:r>
      </w:hyperlink>
      <w:r w:rsidRPr="002F67B6">
        <w:rPr>
          <w:rFonts w:eastAsiaTheme="minorHAnsi"/>
          <w:noProof/>
          <w:sz w:val="22"/>
          <w:szCs w:val="22"/>
          <w:lang w:eastAsia="en-US"/>
        </w:rPr>
        <w:t>.</w:t>
      </w:r>
    </w:p>
    <w:p w14:paraId="4928EEAD" w14:textId="4DD2F2F6" w:rsidR="002F67B6" w:rsidRPr="002F67B6" w:rsidRDefault="002F67B6" w:rsidP="002F67B6">
      <w:pPr>
        <w:spacing w:after="120"/>
        <w:rPr>
          <w:rFonts w:eastAsiaTheme="minorHAnsi"/>
          <w:noProof/>
          <w:sz w:val="22"/>
          <w:szCs w:val="22"/>
          <w:lang w:eastAsia="en-US"/>
        </w:rPr>
      </w:pPr>
      <w:r w:rsidRPr="002F67B6">
        <w:rPr>
          <w:rFonts w:eastAsiaTheme="minorHAnsi"/>
          <w:noProof/>
          <w:sz w:val="22"/>
          <w:szCs w:val="22"/>
          <w:lang w:eastAsia="en-US"/>
        </w:rPr>
        <w:t xml:space="preserve">Civil Liberties Union for Europe (2026), </w:t>
      </w:r>
      <w:r w:rsidRPr="002F67B6">
        <w:rPr>
          <w:i/>
          <w:noProof/>
          <w:sz w:val="22"/>
          <w:szCs w:val="22"/>
          <w:lang w:eastAsia="fr-FR"/>
        </w:rPr>
        <w:t>Liberties Rule of Law Report</w:t>
      </w:r>
      <w:r w:rsidRPr="002F67B6">
        <w:rPr>
          <w:noProof/>
          <w:sz w:val="22"/>
          <w:szCs w:val="22"/>
          <w:lang w:eastAsia="fr-FR"/>
        </w:rPr>
        <w:t xml:space="preserve">, </w:t>
      </w:r>
      <w:hyperlink r:id="rId34" w:history="1">
        <w:r w:rsidRPr="002F67B6">
          <w:rPr>
            <w:noProof/>
            <w:color w:val="0563C1" w:themeColor="hyperlink"/>
            <w:sz w:val="22"/>
            <w:szCs w:val="22"/>
            <w:u w:val="single"/>
            <w:lang w:val="en-US" w:eastAsia="fr-FR"/>
          </w:rPr>
          <w:t>liberties.eu/f/wtaqoq</w:t>
        </w:r>
      </w:hyperlink>
      <w:r w:rsidR="00CB4858">
        <w:rPr>
          <w:noProof/>
        </w:rPr>
        <w:t>.</w:t>
      </w:r>
    </w:p>
    <w:p w14:paraId="42592E4D" w14:textId="2526E276" w:rsidR="002F67B6" w:rsidRPr="002F67B6" w:rsidRDefault="002F67B6" w:rsidP="002F67B6">
      <w:pPr>
        <w:spacing w:after="120"/>
        <w:rPr>
          <w:rFonts w:eastAsiaTheme="minorHAnsi"/>
          <w:noProof/>
          <w:sz w:val="22"/>
          <w:szCs w:val="22"/>
          <w:lang w:eastAsia="en-US"/>
        </w:rPr>
      </w:pPr>
      <w:r w:rsidRPr="002F67B6">
        <w:rPr>
          <w:rFonts w:eastAsiaTheme="minorHAnsi"/>
          <w:noProof/>
          <w:sz w:val="22"/>
          <w:szCs w:val="22"/>
          <w:lang w:eastAsia="en-US"/>
        </w:rPr>
        <w:t>Civicus Monitor (2025)</w:t>
      </w:r>
      <w:r w:rsidRPr="002F67B6">
        <w:rPr>
          <w:rFonts w:eastAsiaTheme="minorHAnsi"/>
          <w:noProof/>
          <w:sz w:val="22"/>
          <w:szCs w:val="22"/>
          <w:lang w:val="en-US" w:eastAsia="en-US"/>
        </w:rPr>
        <w:t xml:space="preserve">, </w:t>
      </w:r>
      <w:r w:rsidRPr="002F67B6">
        <w:rPr>
          <w:rFonts w:eastAsiaTheme="minorHAnsi"/>
          <w:i/>
          <w:noProof/>
          <w:sz w:val="22"/>
          <w:szCs w:val="22"/>
          <w:lang w:val="en-US" w:eastAsia="en-US"/>
        </w:rPr>
        <w:t>Malta: Large mobilization against planning bills</w:t>
      </w:r>
      <w:r w:rsidRPr="002F67B6">
        <w:rPr>
          <w:rFonts w:eastAsiaTheme="minorHAnsi"/>
          <w:noProof/>
          <w:sz w:val="22"/>
          <w:szCs w:val="22"/>
          <w:lang w:val="en-US" w:eastAsia="en-US"/>
        </w:rPr>
        <w:t xml:space="preserve">, 16 October 2025, </w:t>
      </w:r>
      <w:hyperlink r:id="rId35" w:history="1">
        <w:r w:rsidRPr="002F67B6">
          <w:rPr>
            <w:rFonts w:eastAsiaTheme="minorHAnsi"/>
            <w:noProof/>
            <w:color w:val="0563C1" w:themeColor="hyperlink"/>
            <w:sz w:val="22"/>
            <w:szCs w:val="22"/>
            <w:u w:val="single"/>
            <w:lang w:val="en-US" w:eastAsia="en-US"/>
          </w:rPr>
          <w:t>https://monitor.civicus.org/explore/malta-large-mobilisation-against-planning-bills/</w:t>
        </w:r>
      </w:hyperlink>
      <w:r w:rsidRPr="002F67B6">
        <w:rPr>
          <w:rFonts w:eastAsiaTheme="minorHAnsi"/>
          <w:noProof/>
          <w:sz w:val="22"/>
          <w:szCs w:val="22"/>
          <w:lang w:eastAsia="en-US"/>
        </w:rPr>
        <w:t>.</w:t>
      </w:r>
    </w:p>
    <w:p w14:paraId="72521670" w14:textId="131A8760" w:rsidR="002F67B6" w:rsidRPr="002F67B6" w:rsidRDefault="002F67B6" w:rsidP="002F67B6">
      <w:pPr>
        <w:spacing w:after="120"/>
        <w:rPr>
          <w:noProof/>
          <w:sz w:val="22"/>
          <w:szCs w:val="22"/>
          <w:lang w:eastAsia="en-GB"/>
        </w:rPr>
      </w:pPr>
      <w:r w:rsidRPr="002F67B6">
        <w:rPr>
          <w:rFonts w:eastAsiaTheme="minorHAnsi"/>
          <w:noProof/>
          <w:sz w:val="22"/>
          <w:szCs w:val="22"/>
          <w:lang w:eastAsia="en-US"/>
        </w:rPr>
        <w:t xml:space="preserve">Commissioner for Standards in Public Life (2026a), </w:t>
      </w:r>
      <w:r w:rsidRPr="002F67B6">
        <w:rPr>
          <w:rFonts w:eastAsiaTheme="minorHAnsi"/>
          <w:i/>
          <w:noProof/>
          <w:sz w:val="22"/>
          <w:szCs w:val="22"/>
          <w:lang w:eastAsia="en-US"/>
        </w:rPr>
        <w:t>Additional written input</w:t>
      </w:r>
      <w:r w:rsidRPr="002F67B6">
        <w:rPr>
          <w:rFonts w:eastAsiaTheme="minorHAnsi"/>
          <w:noProof/>
          <w:sz w:val="22"/>
          <w:szCs w:val="22"/>
          <w:lang w:eastAsia="en-US"/>
        </w:rPr>
        <w:t>, p. 4</w:t>
      </w:r>
      <w:r w:rsidR="00CB4858">
        <w:rPr>
          <w:rFonts w:eastAsiaTheme="minorHAnsi"/>
          <w:noProof/>
          <w:sz w:val="22"/>
          <w:szCs w:val="22"/>
          <w:lang w:eastAsia="en-US"/>
        </w:rPr>
        <w:t>.</w:t>
      </w:r>
    </w:p>
    <w:p w14:paraId="5233B80E" w14:textId="0B3FBF8A" w:rsidR="002F67B6" w:rsidRPr="002F67B6" w:rsidRDefault="002F67B6" w:rsidP="002F67B6">
      <w:pPr>
        <w:rPr>
          <w:noProof/>
          <w:sz w:val="22"/>
          <w:szCs w:val="22"/>
          <w:lang w:eastAsia="fr-FR"/>
        </w:rPr>
      </w:pPr>
      <w:r w:rsidRPr="002F67B6">
        <w:rPr>
          <w:noProof/>
          <w:sz w:val="22"/>
          <w:szCs w:val="22"/>
          <w:lang w:eastAsia="fr-FR"/>
        </w:rPr>
        <w:t xml:space="preserve">Commissioner for Standards in Public Life (2026b), </w:t>
      </w:r>
      <w:r w:rsidRPr="002F67B6">
        <w:rPr>
          <w:i/>
          <w:noProof/>
          <w:sz w:val="22"/>
          <w:szCs w:val="22"/>
          <w:lang w:eastAsia="fr-FR"/>
        </w:rPr>
        <w:t>Letter to Prime Minister – Declarations of assets by ministers for the year 2024</w:t>
      </w:r>
      <w:r w:rsidRPr="002F67B6">
        <w:rPr>
          <w:noProof/>
          <w:sz w:val="22"/>
          <w:szCs w:val="22"/>
          <w:lang w:eastAsia="fr-FR"/>
        </w:rPr>
        <w:t xml:space="preserve">, 6 January 2026 </w:t>
      </w:r>
      <w:hyperlink r:id="rId36" w:history="1">
        <w:r w:rsidRPr="002F67B6">
          <w:rPr>
            <w:noProof/>
            <w:color w:val="0563C1" w:themeColor="hyperlink"/>
            <w:sz w:val="22"/>
            <w:szCs w:val="22"/>
            <w:u w:val="single"/>
            <w:lang w:eastAsia="fr-FR"/>
          </w:rPr>
          <w:t>https://standardscommissioner.mt/wp-content/uploads/letter-to-pm-2026-01-06-en.pdf</w:t>
        </w:r>
      </w:hyperlink>
      <w:r w:rsidR="00CB4858">
        <w:rPr>
          <w:noProof/>
          <w:sz w:val="22"/>
          <w:szCs w:val="22"/>
          <w:lang w:eastAsia="fr-FR"/>
        </w:rPr>
        <w:t>.</w:t>
      </w:r>
    </w:p>
    <w:p w14:paraId="2528C42F" w14:textId="58F5C06B" w:rsidR="002F67B6" w:rsidRPr="002F67B6" w:rsidRDefault="002F67B6" w:rsidP="002F67B6">
      <w:pPr>
        <w:spacing w:after="120"/>
        <w:rPr>
          <w:i/>
          <w:noProof/>
          <w:sz w:val="22"/>
          <w:szCs w:val="22"/>
          <w:lang w:eastAsia="en-GB"/>
        </w:rPr>
      </w:pPr>
      <w:r w:rsidRPr="002F67B6">
        <w:rPr>
          <w:noProof/>
          <w:sz w:val="22"/>
          <w:szCs w:val="22"/>
          <w:lang w:eastAsia="en-GB"/>
        </w:rPr>
        <w:t>Commissioner for Standards in Public Life (2026),</w:t>
      </w:r>
      <w:r w:rsidRPr="002F67B6">
        <w:rPr>
          <w:i/>
          <w:noProof/>
          <w:sz w:val="22"/>
          <w:szCs w:val="22"/>
          <w:lang w:eastAsia="en-GB"/>
        </w:rPr>
        <w:t xml:space="preserve"> Written input for the 2026 Rule of Law Report</w:t>
      </w:r>
      <w:r w:rsidR="00CB4858">
        <w:rPr>
          <w:i/>
          <w:noProof/>
          <w:sz w:val="22"/>
          <w:szCs w:val="22"/>
          <w:lang w:eastAsia="en-GB"/>
        </w:rPr>
        <w:t>.</w:t>
      </w:r>
    </w:p>
    <w:p w14:paraId="27FB0369" w14:textId="3C204B1F" w:rsidR="002F67B6" w:rsidRPr="002F67B6" w:rsidRDefault="002F67B6" w:rsidP="002F67B6">
      <w:pPr>
        <w:spacing w:after="120"/>
        <w:rPr>
          <w:noProof/>
          <w:sz w:val="22"/>
          <w:szCs w:val="22"/>
          <w:lang w:eastAsia="en-GB"/>
        </w:rPr>
      </w:pPr>
      <w:r w:rsidRPr="002F67B6">
        <w:rPr>
          <w:noProof/>
          <w:sz w:val="22"/>
          <w:szCs w:val="22"/>
          <w:lang w:eastAsia="en-GB"/>
        </w:rPr>
        <w:t xml:space="preserve">Committee of Ministers of the Council of Europe (2010), </w:t>
      </w:r>
      <w:r w:rsidRPr="002F67B6">
        <w:rPr>
          <w:i/>
          <w:noProof/>
          <w:sz w:val="22"/>
          <w:szCs w:val="22"/>
          <w:lang w:eastAsia="en-GB"/>
        </w:rPr>
        <w:t xml:space="preserve">Recommendation </w:t>
      </w:r>
      <w:r w:rsidRPr="002F67B6">
        <w:rPr>
          <w:i/>
          <w:noProof/>
          <w:sz w:val="22"/>
          <w:szCs w:val="22"/>
          <w:lang w:val="en-US" w:eastAsia="en-GB"/>
        </w:rPr>
        <w:t>to member states on judges: independence, efficiency and responsibilities</w:t>
      </w:r>
      <w:r w:rsidRPr="002F67B6">
        <w:rPr>
          <w:noProof/>
          <w:sz w:val="22"/>
          <w:szCs w:val="22"/>
          <w:lang w:val="en-US" w:eastAsia="en-GB"/>
        </w:rPr>
        <w:t xml:space="preserve">, </w:t>
      </w:r>
      <w:r w:rsidRPr="002F67B6">
        <w:rPr>
          <w:noProof/>
          <w:sz w:val="22"/>
          <w:szCs w:val="22"/>
          <w:lang w:eastAsia="en-GB"/>
        </w:rPr>
        <w:t>CM/Rec(2010)12.</w:t>
      </w:r>
    </w:p>
    <w:p w14:paraId="63BE9FCB" w14:textId="02B59B8D" w:rsidR="002F67B6" w:rsidRPr="002F67B6" w:rsidRDefault="002F67B6" w:rsidP="002F67B6">
      <w:pPr>
        <w:spacing w:after="120"/>
        <w:rPr>
          <w:rFonts w:eastAsiaTheme="minorHAnsi"/>
          <w:noProof/>
          <w:sz w:val="22"/>
          <w:szCs w:val="22"/>
          <w:lang w:eastAsia="en-US"/>
        </w:rPr>
      </w:pPr>
      <w:r w:rsidRPr="002F67B6">
        <w:rPr>
          <w:rFonts w:eastAsiaTheme="minorHAnsi"/>
          <w:noProof/>
          <w:sz w:val="22"/>
          <w:szCs w:val="22"/>
          <w:lang w:eastAsia="en-US"/>
        </w:rPr>
        <w:t xml:space="preserve">Constitution of Malta, </w:t>
      </w:r>
      <w:hyperlink r:id="rId37" w:history="1">
        <w:r w:rsidRPr="002F67B6">
          <w:rPr>
            <w:rFonts w:eastAsiaTheme="minorHAnsi"/>
            <w:noProof/>
            <w:color w:val="0563C1" w:themeColor="hyperlink"/>
            <w:sz w:val="22"/>
            <w:szCs w:val="22"/>
            <w:u w:val="single"/>
            <w:lang w:eastAsia="en-US"/>
          </w:rPr>
          <w:t>https://legislation.mt/eli/const/eng</w:t>
        </w:r>
      </w:hyperlink>
      <w:r w:rsidR="002F7B53">
        <w:rPr>
          <w:rFonts w:eastAsiaTheme="minorHAnsi"/>
          <w:noProof/>
          <w:sz w:val="22"/>
          <w:szCs w:val="22"/>
          <w:lang w:eastAsia="en-US"/>
        </w:rPr>
        <w:t>.</w:t>
      </w:r>
    </w:p>
    <w:p w14:paraId="230527FB" w14:textId="1EE4606F" w:rsidR="002F67B6" w:rsidRPr="002F67B6" w:rsidRDefault="002F67B6" w:rsidP="002F67B6">
      <w:pPr>
        <w:spacing w:after="120"/>
        <w:rPr>
          <w:noProof/>
          <w:sz w:val="22"/>
          <w:szCs w:val="22"/>
          <w:lang w:val="en-IE" w:eastAsia="en-GB"/>
        </w:rPr>
      </w:pPr>
      <w:r w:rsidRPr="002F67B6">
        <w:rPr>
          <w:rFonts w:eastAsiaTheme="minorHAnsi"/>
          <w:noProof/>
          <w:sz w:val="22"/>
          <w:szCs w:val="22"/>
          <w:lang w:val="en-IE" w:eastAsia="en-US"/>
        </w:rPr>
        <w:t xml:space="preserve">ConstitutionNet (2025), </w:t>
      </w:r>
      <w:r w:rsidRPr="002F67B6">
        <w:rPr>
          <w:rFonts w:eastAsiaTheme="minorHAnsi"/>
          <w:i/>
          <w:noProof/>
          <w:sz w:val="22"/>
          <w:szCs w:val="22"/>
          <w:lang w:val="en-IE" w:eastAsia="en-US"/>
        </w:rPr>
        <w:t>Maltese Government Advances Narrow Reform While Broader Constitutional Package Collapses</w:t>
      </w:r>
      <w:r w:rsidRPr="002F67B6">
        <w:rPr>
          <w:rFonts w:eastAsiaTheme="minorHAnsi"/>
          <w:noProof/>
          <w:sz w:val="22"/>
          <w:szCs w:val="22"/>
          <w:lang w:val="en-IE" w:eastAsia="en-US"/>
        </w:rPr>
        <w:t xml:space="preserve">, 17 July 2025, </w:t>
      </w:r>
      <w:hyperlink r:id="rId38" w:history="1">
        <w:r w:rsidRPr="002F67B6">
          <w:rPr>
            <w:rFonts w:eastAsiaTheme="minorHAnsi"/>
            <w:noProof/>
            <w:color w:val="0563C1" w:themeColor="hyperlink"/>
            <w:sz w:val="22"/>
            <w:szCs w:val="22"/>
            <w:u w:val="single"/>
            <w:lang w:val="en-IE" w:eastAsia="en-US"/>
          </w:rPr>
          <w:t>https://constitutionnet.org/news/voices/maltese-government-advances-narrow-reform-while-broader-constitutional-package-collapses</w:t>
        </w:r>
      </w:hyperlink>
      <w:r w:rsidRPr="002F67B6">
        <w:rPr>
          <w:rFonts w:eastAsiaTheme="minorHAnsi"/>
          <w:noProof/>
          <w:sz w:val="22"/>
          <w:szCs w:val="22"/>
          <w:lang w:val="en-IE" w:eastAsia="en-US"/>
        </w:rPr>
        <w:t>.</w:t>
      </w:r>
    </w:p>
    <w:p w14:paraId="17DB9DFB" w14:textId="09BC5673" w:rsidR="002F67B6" w:rsidRPr="002F67B6" w:rsidRDefault="002F67B6" w:rsidP="002F67B6">
      <w:pPr>
        <w:spacing w:after="120"/>
        <w:rPr>
          <w:rFonts w:eastAsiaTheme="minorHAnsi"/>
          <w:noProof/>
          <w:sz w:val="22"/>
          <w:szCs w:val="22"/>
          <w:lang w:val="en-IE" w:eastAsia="en-US"/>
        </w:rPr>
      </w:pPr>
      <w:r w:rsidRPr="002F67B6">
        <w:rPr>
          <w:rFonts w:eastAsiaTheme="minorHAnsi"/>
          <w:noProof/>
          <w:sz w:val="22"/>
          <w:szCs w:val="22"/>
          <w:lang w:eastAsia="en-US"/>
        </w:rPr>
        <w:t xml:space="preserve">Council of Europe (2026), </w:t>
      </w:r>
      <w:r w:rsidRPr="002F67B6">
        <w:rPr>
          <w:rFonts w:eastAsiaTheme="minorHAnsi"/>
          <w:i/>
          <w:noProof/>
          <w:sz w:val="22"/>
          <w:szCs w:val="22"/>
          <w:lang w:eastAsia="en-US"/>
        </w:rPr>
        <w:t>Supervision of the execution of judgments decisions of the European Court of Human Rights – 19th Annual Report of the Committee of Ministers – 2025,</w:t>
      </w:r>
      <w:r w:rsidRPr="002F67B6">
        <w:rPr>
          <w:rFonts w:eastAsiaTheme="minorHAnsi"/>
          <w:noProof/>
          <w:sz w:val="22"/>
          <w:szCs w:val="22"/>
          <w:lang w:eastAsia="en-US"/>
        </w:rPr>
        <w:t xml:space="preserve"> </w:t>
      </w:r>
      <w:hyperlink r:id="rId39" w:history="1">
        <w:r w:rsidRPr="002F67B6">
          <w:rPr>
            <w:rFonts w:eastAsiaTheme="minorHAnsi"/>
            <w:noProof/>
            <w:color w:val="0563C1" w:themeColor="hyperlink"/>
            <w:sz w:val="22"/>
            <w:szCs w:val="22"/>
            <w:u w:val="single"/>
            <w:lang w:val="en-IE" w:eastAsia="en-US"/>
          </w:rPr>
          <w:t>https://rm.coe.int/2025-annual-report/48802b1633</w:t>
        </w:r>
      </w:hyperlink>
      <w:r w:rsidRPr="002F67B6">
        <w:rPr>
          <w:rFonts w:eastAsiaTheme="minorHAnsi"/>
          <w:noProof/>
          <w:sz w:val="22"/>
          <w:szCs w:val="22"/>
          <w:lang w:val="en-IE" w:eastAsia="en-US"/>
        </w:rPr>
        <w:t>.</w:t>
      </w:r>
    </w:p>
    <w:p w14:paraId="5F4858D5" w14:textId="5BEE2E7D" w:rsidR="002F67B6" w:rsidRPr="002F67B6" w:rsidRDefault="002F67B6" w:rsidP="002F67B6">
      <w:pPr>
        <w:spacing w:after="120"/>
        <w:rPr>
          <w:rFonts w:eastAsiaTheme="minorHAnsi"/>
          <w:noProof/>
          <w:sz w:val="22"/>
          <w:szCs w:val="22"/>
          <w:lang w:eastAsia="en-US"/>
        </w:rPr>
      </w:pPr>
      <w:r w:rsidRPr="002F67B6">
        <w:rPr>
          <w:rFonts w:eastAsiaTheme="minorHAnsi"/>
          <w:noProof/>
          <w:sz w:val="22"/>
          <w:szCs w:val="22"/>
          <w:lang w:eastAsia="en-US"/>
        </w:rPr>
        <w:t xml:space="preserve">Council of Europe (2025), </w:t>
      </w:r>
      <w:r w:rsidRPr="00F25C4C">
        <w:rPr>
          <w:rFonts w:eastAsiaTheme="minorHAnsi"/>
          <w:i/>
          <w:iCs/>
          <w:noProof/>
          <w:sz w:val="22"/>
          <w:szCs w:val="22"/>
          <w:lang w:eastAsia="en-US"/>
        </w:rPr>
        <w:t>Marking the successful completion of Malta’s Attorney General and State Advocate offices re-organisation</w:t>
      </w:r>
      <w:r w:rsidRPr="002F67B6">
        <w:rPr>
          <w:rFonts w:eastAsiaTheme="minorHAnsi"/>
          <w:noProof/>
          <w:sz w:val="22"/>
          <w:szCs w:val="22"/>
          <w:lang w:eastAsia="en-US"/>
        </w:rPr>
        <w:t>, 6 October 2025,</w:t>
      </w:r>
      <w:r w:rsidR="00C91668">
        <w:rPr>
          <w:rFonts w:eastAsiaTheme="minorHAnsi"/>
          <w:noProof/>
          <w:sz w:val="22"/>
          <w:szCs w:val="22"/>
          <w:lang w:eastAsia="en-US"/>
        </w:rPr>
        <w:t xml:space="preserve"> </w:t>
      </w:r>
      <w:r w:rsidRPr="002F67B6">
        <w:rPr>
          <w:rFonts w:eastAsiaTheme="minorHAnsi"/>
          <w:noProof/>
          <w:sz w:val="22"/>
          <w:szCs w:val="22"/>
          <w:lang w:val="en-US" w:eastAsia="en-US"/>
        </w:rPr>
        <w:t xml:space="preserve"> </w:t>
      </w:r>
      <w:hyperlink r:id="rId40" w:history="1">
        <w:r w:rsidRPr="002F67B6">
          <w:rPr>
            <w:rFonts w:eastAsiaTheme="minorHAnsi"/>
            <w:noProof/>
            <w:color w:val="0563C1" w:themeColor="hyperlink"/>
            <w:sz w:val="22"/>
            <w:szCs w:val="22"/>
            <w:u w:val="single"/>
            <w:lang w:eastAsia="en-US"/>
          </w:rPr>
          <w:t>https://www.coe.int/en/web/implementation/attorney-general-and-state-advocate-in-malta/-/asset_publisher/viLgZXC0OZhs/content/marking-the-successful-completion-of-malta-s-attorney-general-and-state-advocate-offices-re-organisation</w:t>
        </w:r>
      </w:hyperlink>
      <w:r w:rsidRPr="002F67B6">
        <w:rPr>
          <w:rFonts w:eastAsiaTheme="minorHAnsi"/>
          <w:noProof/>
          <w:sz w:val="22"/>
          <w:szCs w:val="22"/>
          <w:lang w:eastAsia="en-US"/>
        </w:rPr>
        <w:t>.</w:t>
      </w:r>
    </w:p>
    <w:p w14:paraId="7584DB7C" w14:textId="77777777" w:rsidR="002F67B6" w:rsidRPr="002F67B6" w:rsidRDefault="002F67B6" w:rsidP="002F67B6">
      <w:pPr>
        <w:spacing w:after="120"/>
        <w:rPr>
          <w:rFonts w:eastAsiaTheme="minorHAnsi"/>
          <w:noProof/>
          <w:sz w:val="22"/>
          <w:szCs w:val="22"/>
          <w:lang w:eastAsia="en-US"/>
        </w:rPr>
      </w:pPr>
      <w:r w:rsidRPr="002F67B6">
        <w:rPr>
          <w:rFonts w:eastAsiaTheme="minorHAnsi"/>
          <w:noProof/>
          <w:sz w:val="22"/>
          <w:szCs w:val="22"/>
          <w:lang w:eastAsia="en-US"/>
        </w:rPr>
        <w:t xml:space="preserve">Court of Justice of the European Union, judgment of 29 April 2025, </w:t>
      </w:r>
      <w:r w:rsidRPr="002F67B6">
        <w:rPr>
          <w:rFonts w:eastAsiaTheme="minorHAnsi"/>
          <w:i/>
          <w:noProof/>
          <w:sz w:val="22"/>
          <w:szCs w:val="22"/>
          <w:lang w:eastAsia="en-US"/>
        </w:rPr>
        <w:t>Commission v Malta (Citizenship by investment)</w:t>
      </w:r>
      <w:r w:rsidRPr="002F67B6">
        <w:rPr>
          <w:rFonts w:eastAsiaTheme="minorHAnsi"/>
          <w:noProof/>
          <w:sz w:val="22"/>
          <w:szCs w:val="22"/>
          <w:lang w:eastAsia="en-US"/>
        </w:rPr>
        <w:t xml:space="preserve">, case C-181/23, </w:t>
      </w:r>
      <w:hyperlink r:id="rId41" w:history="1">
        <w:r w:rsidRPr="002F67B6">
          <w:rPr>
            <w:rFonts w:eastAsiaTheme="minorHAnsi"/>
            <w:noProof/>
            <w:color w:val="0563C1" w:themeColor="hyperlink"/>
            <w:sz w:val="22"/>
            <w:szCs w:val="22"/>
            <w:u w:val="single"/>
            <w:lang w:eastAsia="en-US"/>
          </w:rPr>
          <w:t>https://eur-lex.europa.eu/eli/C/2025/3238/oj/eng</w:t>
        </w:r>
      </w:hyperlink>
      <w:r w:rsidRPr="002F67B6">
        <w:rPr>
          <w:rFonts w:eastAsiaTheme="minorHAnsi"/>
          <w:noProof/>
          <w:sz w:val="22"/>
          <w:szCs w:val="22"/>
          <w:lang w:eastAsia="en-US"/>
        </w:rPr>
        <w:t>.</w:t>
      </w:r>
    </w:p>
    <w:p w14:paraId="04E52AC6" w14:textId="77777777" w:rsidR="002F67B6" w:rsidRPr="002F67B6" w:rsidRDefault="002F67B6" w:rsidP="002F67B6">
      <w:pPr>
        <w:spacing w:after="120"/>
        <w:rPr>
          <w:noProof/>
          <w:sz w:val="22"/>
          <w:szCs w:val="22"/>
          <w:lang w:eastAsia="en-GB"/>
        </w:rPr>
      </w:pPr>
      <w:r w:rsidRPr="002F67B6">
        <w:rPr>
          <w:rFonts w:eastAsiaTheme="minorHAnsi"/>
          <w:noProof/>
          <w:sz w:val="22"/>
          <w:szCs w:val="22"/>
          <w:lang w:eastAsia="en-US"/>
        </w:rPr>
        <w:t xml:space="preserve">Daphne Foundation (2025), </w:t>
      </w:r>
      <w:r w:rsidRPr="002F67B6">
        <w:rPr>
          <w:rFonts w:eastAsiaTheme="minorHAnsi"/>
          <w:i/>
          <w:noProof/>
          <w:sz w:val="22"/>
          <w:szCs w:val="22"/>
          <w:lang w:eastAsia="en-US"/>
        </w:rPr>
        <w:t>Justice at risk: The impact of delayed legal proceedings in wilful homicide cases in Malta</w:t>
      </w:r>
      <w:r w:rsidRPr="002F67B6">
        <w:rPr>
          <w:rFonts w:eastAsiaTheme="minorHAnsi"/>
          <w:noProof/>
          <w:sz w:val="22"/>
          <w:szCs w:val="22"/>
          <w:lang w:eastAsia="en-US"/>
        </w:rPr>
        <w:t xml:space="preserve">, October 2025 </w:t>
      </w:r>
      <w:hyperlink r:id="rId42" w:history="1">
        <w:r w:rsidRPr="002F67B6">
          <w:rPr>
            <w:rFonts w:eastAsiaTheme="minorHAnsi"/>
            <w:noProof/>
            <w:color w:val="0563C1" w:themeColor="hyperlink"/>
            <w:sz w:val="22"/>
            <w:szCs w:val="22"/>
            <w:u w:val="single"/>
            <w:lang w:eastAsia="en-US"/>
          </w:rPr>
          <w:t>https://www.daphne.foundation/documents/reports/ justice-at-risk-delayed-court-proceedings-in-malta.pdf</w:t>
        </w:r>
      </w:hyperlink>
      <w:r w:rsidRPr="002F67B6">
        <w:rPr>
          <w:rFonts w:eastAsiaTheme="minorHAnsi"/>
          <w:noProof/>
          <w:sz w:val="22"/>
          <w:szCs w:val="22"/>
          <w:lang w:eastAsia="en-US"/>
        </w:rPr>
        <w:t>.</w:t>
      </w:r>
    </w:p>
    <w:p w14:paraId="66A691D1" w14:textId="392D73B7" w:rsidR="002F67B6" w:rsidRPr="002F67B6" w:rsidRDefault="002F67B6" w:rsidP="002F67B6">
      <w:pPr>
        <w:spacing w:after="120"/>
        <w:rPr>
          <w:noProof/>
          <w:sz w:val="22"/>
          <w:szCs w:val="22"/>
          <w:lang w:eastAsia="en-GB"/>
        </w:rPr>
      </w:pPr>
      <w:r w:rsidRPr="002F67B6">
        <w:rPr>
          <w:rFonts w:eastAsiaTheme="minorHAnsi"/>
          <w:noProof/>
          <w:sz w:val="22"/>
          <w:szCs w:val="22"/>
          <w:lang w:eastAsia="en-US"/>
        </w:rPr>
        <w:t xml:space="preserve">Din l-Art </w:t>
      </w:r>
      <w:r w:rsidRPr="002F67B6">
        <w:rPr>
          <w:rFonts w:eastAsiaTheme="minorHAnsi"/>
          <w:noProof/>
          <w:sz w:val="22"/>
          <w:szCs w:val="22"/>
          <w:lang w:val="en-US" w:eastAsia="en-US"/>
        </w:rPr>
        <w:t>Ħelwa</w:t>
      </w:r>
      <w:r w:rsidRPr="002F67B6" w:rsidDel="00814905">
        <w:rPr>
          <w:rFonts w:eastAsiaTheme="minorHAnsi"/>
          <w:noProof/>
          <w:sz w:val="22"/>
          <w:szCs w:val="22"/>
          <w:lang w:eastAsia="en-US"/>
        </w:rPr>
        <w:t xml:space="preserve"> </w:t>
      </w:r>
      <w:r w:rsidRPr="002F67B6">
        <w:rPr>
          <w:rFonts w:eastAsiaTheme="minorHAnsi"/>
          <w:noProof/>
          <w:sz w:val="22"/>
          <w:szCs w:val="22"/>
          <w:lang w:eastAsia="en-US"/>
        </w:rPr>
        <w:t>(2025)</w:t>
      </w:r>
      <w:r w:rsidRPr="002F67B6">
        <w:rPr>
          <w:rFonts w:eastAsiaTheme="minorHAnsi"/>
          <w:noProof/>
          <w:sz w:val="22"/>
          <w:szCs w:val="22"/>
          <w:lang w:val="en-US" w:eastAsia="en-US"/>
        </w:rPr>
        <w:t xml:space="preserve">, </w:t>
      </w:r>
      <w:r w:rsidRPr="002F67B6">
        <w:rPr>
          <w:rFonts w:eastAsiaTheme="minorHAnsi"/>
          <w:i/>
          <w:noProof/>
          <w:sz w:val="22"/>
          <w:szCs w:val="22"/>
          <w:lang w:val="en-US" w:eastAsia="en-US"/>
        </w:rPr>
        <w:t xml:space="preserve">Planning for ‘modern justice’: What does it even mean?, </w:t>
      </w:r>
      <w:r w:rsidRPr="002F67B6">
        <w:rPr>
          <w:rFonts w:eastAsiaTheme="minorHAnsi"/>
          <w:noProof/>
          <w:sz w:val="22"/>
          <w:szCs w:val="22"/>
          <w:lang w:val="en-US" w:eastAsia="en-US"/>
        </w:rPr>
        <w:t>Malta Today, 26 August 2025</w:t>
      </w:r>
      <w:r w:rsidR="00F33733">
        <w:rPr>
          <w:rFonts w:eastAsiaTheme="minorHAnsi"/>
          <w:noProof/>
          <w:sz w:val="22"/>
          <w:szCs w:val="22"/>
          <w:lang w:val="en-US" w:eastAsia="en-US"/>
        </w:rPr>
        <w:t>,</w:t>
      </w:r>
      <w:r w:rsidR="00F25C4C">
        <w:rPr>
          <w:rFonts w:eastAsiaTheme="minorHAnsi"/>
          <w:noProof/>
          <w:sz w:val="22"/>
          <w:szCs w:val="22"/>
          <w:lang w:val="en-US" w:eastAsia="en-US"/>
        </w:rPr>
        <w:t xml:space="preserve"> </w:t>
      </w:r>
      <w:hyperlink r:id="rId43" w:history="1">
        <w:r w:rsidR="00F25C4C" w:rsidRPr="00B26AF7">
          <w:rPr>
            <w:rStyle w:val="Hyperlink"/>
            <w:rFonts w:eastAsiaTheme="minorHAnsi"/>
            <w:noProof/>
            <w:sz w:val="22"/>
            <w:szCs w:val="22"/>
            <w:lang w:val="en-US" w:eastAsia="en-US"/>
          </w:rPr>
          <w:t>https://www.maltatoday.com.mt/comment/opinions/136664/ planning_for_modern_justice_what_does_it_even_mean</w:t>
        </w:r>
      </w:hyperlink>
      <w:r w:rsidRPr="002F67B6">
        <w:rPr>
          <w:rFonts w:eastAsiaTheme="minorHAnsi"/>
          <w:noProof/>
          <w:sz w:val="22"/>
          <w:szCs w:val="22"/>
          <w:lang w:eastAsia="en-US"/>
        </w:rPr>
        <w:t>.</w:t>
      </w:r>
    </w:p>
    <w:p w14:paraId="63D234D8" w14:textId="5800E1B9" w:rsidR="00E45F6B" w:rsidRDefault="00AF5CB6" w:rsidP="002F67B6">
      <w:pPr>
        <w:spacing w:after="120"/>
        <w:rPr>
          <w:rFonts w:eastAsiaTheme="minorHAnsi"/>
          <w:noProof/>
          <w:sz w:val="22"/>
          <w:szCs w:val="22"/>
          <w:lang w:eastAsia="en-US"/>
        </w:rPr>
      </w:pPr>
      <w:r w:rsidRPr="00352C6F">
        <w:rPr>
          <w:rFonts w:eastAsiaTheme="minorHAnsi"/>
          <w:noProof/>
          <w:sz w:val="22"/>
          <w:szCs w:val="22"/>
          <w:lang w:eastAsia="en-US"/>
        </w:rPr>
        <w:t xml:space="preserve">European Commission (2026), </w:t>
      </w:r>
      <w:r w:rsidRPr="00352C6F">
        <w:rPr>
          <w:rFonts w:eastAsiaTheme="minorHAnsi"/>
          <w:i/>
          <w:iCs/>
          <w:noProof/>
          <w:sz w:val="22"/>
          <w:szCs w:val="22"/>
          <w:lang w:eastAsia="en-US"/>
        </w:rPr>
        <w:t>Recommendation for a Council Recommendation on the economic, social, employment, structural and budgetary policies of Malta</w:t>
      </w:r>
      <w:r w:rsidRPr="00352C6F">
        <w:rPr>
          <w:rFonts w:eastAsiaTheme="minorHAnsi"/>
          <w:noProof/>
          <w:sz w:val="22"/>
          <w:szCs w:val="22"/>
          <w:lang w:eastAsia="en-US"/>
        </w:rPr>
        <w:t>, COM(2026) 218 final.</w:t>
      </w:r>
    </w:p>
    <w:p w14:paraId="1F34FF5B" w14:textId="5D196287" w:rsidR="002F67B6" w:rsidRPr="002F67B6" w:rsidRDefault="002F67B6" w:rsidP="002F67B6">
      <w:pPr>
        <w:spacing w:after="120"/>
        <w:rPr>
          <w:rFonts w:eastAsiaTheme="minorHAnsi"/>
          <w:noProof/>
          <w:sz w:val="22"/>
          <w:szCs w:val="22"/>
          <w:lang w:eastAsia="en-US"/>
        </w:rPr>
      </w:pPr>
      <w:r w:rsidRPr="002F67B6">
        <w:rPr>
          <w:rFonts w:eastAsiaTheme="minorHAnsi"/>
          <w:noProof/>
          <w:sz w:val="22"/>
          <w:szCs w:val="22"/>
          <w:lang w:eastAsia="en-US"/>
        </w:rPr>
        <w:t xml:space="preserve">European Court of Human Rights, judgment of 22 October 2024, </w:t>
      </w:r>
      <w:r w:rsidRPr="002F67B6">
        <w:rPr>
          <w:rFonts w:eastAsiaTheme="minorHAnsi"/>
          <w:i/>
          <w:noProof/>
          <w:sz w:val="22"/>
          <w:szCs w:val="22"/>
          <w:lang w:eastAsia="en-US"/>
        </w:rPr>
        <w:t>J.B. and Others v. Malta</w:t>
      </w:r>
      <w:r w:rsidRPr="002F67B6">
        <w:rPr>
          <w:rFonts w:eastAsiaTheme="minorHAnsi"/>
          <w:noProof/>
          <w:sz w:val="22"/>
          <w:szCs w:val="22"/>
          <w:lang w:eastAsia="en-US"/>
        </w:rPr>
        <w:t>, case 1766/23</w:t>
      </w:r>
      <w:r w:rsidR="002F7B53">
        <w:rPr>
          <w:rFonts w:eastAsiaTheme="minorHAnsi"/>
          <w:noProof/>
          <w:sz w:val="22"/>
          <w:szCs w:val="22"/>
          <w:lang w:eastAsia="en-US"/>
        </w:rPr>
        <w:t>.</w:t>
      </w:r>
    </w:p>
    <w:p w14:paraId="4F350646" w14:textId="77777777" w:rsidR="002F67B6" w:rsidRPr="002F67B6" w:rsidRDefault="002F67B6" w:rsidP="002F67B6">
      <w:pPr>
        <w:spacing w:after="120"/>
        <w:rPr>
          <w:rFonts w:eastAsiaTheme="minorHAnsi"/>
          <w:noProof/>
          <w:sz w:val="22"/>
          <w:szCs w:val="22"/>
          <w:lang w:eastAsia="en-US"/>
        </w:rPr>
      </w:pPr>
      <w:r w:rsidRPr="002F67B6">
        <w:rPr>
          <w:rFonts w:eastAsiaTheme="minorHAnsi"/>
          <w:noProof/>
          <w:sz w:val="22"/>
          <w:szCs w:val="22"/>
          <w:lang w:eastAsia="en-US"/>
        </w:rPr>
        <w:t xml:space="preserve">European Court of Human Rights, judgment of 26 September 2006, </w:t>
      </w:r>
      <w:r w:rsidRPr="002F67B6">
        <w:rPr>
          <w:rFonts w:eastAsiaTheme="minorHAnsi"/>
          <w:i/>
          <w:noProof/>
          <w:sz w:val="22"/>
          <w:szCs w:val="22"/>
          <w:lang w:eastAsia="en-US"/>
        </w:rPr>
        <w:t>Ghigo v. Malta</w:t>
      </w:r>
      <w:r w:rsidRPr="002F67B6">
        <w:rPr>
          <w:rFonts w:eastAsiaTheme="minorHAnsi"/>
          <w:noProof/>
          <w:sz w:val="22"/>
          <w:szCs w:val="22"/>
          <w:lang w:eastAsia="en-US"/>
        </w:rPr>
        <w:t xml:space="preserve">, case </w:t>
      </w:r>
      <w:r w:rsidRPr="002F67B6">
        <w:rPr>
          <w:rFonts w:eastAsiaTheme="minorHAnsi"/>
          <w:noProof/>
          <w:sz w:val="22"/>
          <w:szCs w:val="22"/>
          <w:lang w:val="en-US" w:eastAsia="en-US"/>
        </w:rPr>
        <w:t>31122/05.</w:t>
      </w:r>
    </w:p>
    <w:p w14:paraId="403E7875" w14:textId="2AF0BFC8" w:rsidR="002F67B6" w:rsidRDefault="002F67B6" w:rsidP="002F67B6">
      <w:pPr>
        <w:spacing w:after="120"/>
        <w:rPr>
          <w:rFonts w:eastAsiaTheme="minorHAnsi"/>
          <w:noProof/>
          <w:sz w:val="22"/>
          <w:szCs w:val="22"/>
          <w:lang w:eastAsia="en-US"/>
        </w:rPr>
      </w:pPr>
      <w:r w:rsidRPr="002F67B6">
        <w:rPr>
          <w:rFonts w:eastAsiaTheme="minorHAnsi"/>
          <w:noProof/>
          <w:sz w:val="22"/>
          <w:szCs w:val="22"/>
          <w:lang w:eastAsia="en-US"/>
        </w:rPr>
        <w:t xml:space="preserve">European Implementation Network, (2026), </w:t>
      </w:r>
      <w:r w:rsidRPr="002F67B6">
        <w:rPr>
          <w:rFonts w:eastAsiaTheme="minorHAnsi"/>
          <w:i/>
          <w:noProof/>
          <w:sz w:val="22"/>
          <w:szCs w:val="22"/>
          <w:lang w:eastAsia="en-US"/>
        </w:rPr>
        <w:t>Input from the European Implementation Network for the 2026 Rule of Law Report</w:t>
      </w:r>
      <w:r w:rsidRPr="002F67B6">
        <w:rPr>
          <w:rFonts w:eastAsiaTheme="minorHAnsi"/>
          <w:noProof/>
          <w:sz w:val="22"/>
          <w:szCs w:val="22"/>
          <w:lang w:eastAsia="en-US"/>
        </w:rPr>
        <w:t xml:space="preserve">. </w:t>
      </w:r>
    </w:p>
    <w:p w14:paraId="379FEFDB" w14:textId="77777777" w:rsidR="002F67B6" w:rsidRPr="002F67B6" w:rsidRDefault="002F67B6" w:rsidP="002F67B6">
      <w:pPr>
        <w:spacing w:after="120"/>
        <w:rPr>
          <w:rFonts w:eastAsiaTheme="minorHAnsi"/>
          <w:noProof/>
          <w:sz w:val="22"/>
          <w:szCs w:val="22"/>
          <w:lang w:eastAsia="en-US"/>
        </w:rPr>
      </w:pPr>
      <w:r w:rsidRPr="002F67B6">
        <w:rPr>
          <w:rFonts w:eastAsiaTheme="minorHAnsi"/>
          <w:noProof/>
          <w:sz w:val="22"/>
          <w:szCs w:val="22"/>
          <w:lang w:eastAsia="en-US"/>
        </w:rPr>
        <w:t>Fieldfisher (2025</w:t>
      </w:r>
      <w:r w:rsidRPr="002F67B6">
        <w:rPr>
          <w:rFonts w:eastAsiaTheme="minorHAnsi"/>
          <w:i/>
          <w:noProof/>
          <w:sz w:val="22"/>
          <w:szCs w:val="22"/>
          <w:lang w:eastAsia="en-US"/>
        </w:rPr>
        <w:t>), Independent review on the transfer of summary cases from the Police to the Attorney General's Office, Executive summary</w:t>
      </w:r>
      <w:r w:rsidRPr="002F67B6">
        <w:rPr>
          <w:rFonts w:eastAsiaTheme="minorHAnsi"/>
          <w:noProof/>
          <w:sz w:val="22"/>
          <w:szCs w:val="22"/>
          <w:lang w:eastAsia="en-US"/>
        </w:rPr>
        <w:t xml:space="preserve">, December 2025, </w:t>
      </w:r>
      <w:hyperlink r:id="rId44" w:history="1">
        <w:r w:rsidRPr="002F67B6">
          <w:rPr>
            <w:rFonts w:eastAsiaTheme="minorHAnsi"/>
            <w:noProof/>
            <w:color w:val="0563C1" w:themeColor="hyperlink"/>
            <w:sz w:val="22"/>
            <w:szCs w:val="22"/>
            <w:u w:val="single"/>
            <w:lang w:eastAsia="en-US"/>
          </w:rPr>
          <w:t>https://justice.gov.mt/wp-content/uploads/2025/12/Executive-Summary-1-for-M6.5-December-2025.pdf</w:t>
        </w:r>
      </w:hyperlink>
      <w:r w:rsidRPr="002F67B6">
        <w:rPr>
          <w:rFonts w:eastAsiaTheme="minorHAnsi"/>
          <w:noProof/>
          <w:sz w:val="22"/>
          <w:szCs w:val="22"/>
          <w:lang w:eastAsia="en-US"/>
        </w:rPr>
        <w:t>.</w:t>
      </w:r>
    </w:p>
    <w:p w14:paraId="0DC165C0" w14:textId="56F231FA" w:rsidR="002F67B6" w:rsidRPr="002F67B6" w:rsidRDefault="002F67B6" w:rsidP="002F67B6">
      <w:pPr>
        <w:rPr>
          <w:noProof/>
          <w:sz w:val="22"/>
          <w:szCs w:val="22"/>
          <w:lang w:eastAsia="fr-FR"/>
        </w:rPr>
      </w:pPr>
      <w:r w:rsidRPr="002F67B6">
        <w:rPr>
          <w:noProof/>
          <w:sz w:val="22"/>
          <w:szCs w:val="22"/>
          <w:lang w:eastAsia="fr-FR"/>
        </w:rPr>
        <w:t xml:space="preserve">GRECO (2025), </w:t>
      </w:r>
      <w:r w:rsidRPr="002F67B6">
        <w:rPr>
          <w:i/>
          <w:noProof/>
          <w:sz w:val="22"/>
          <w:szCs w:val="22"/>
          <w:lang w:eastAsia="fr-FR"/>
        </w:rPr>
        <w:t>Fifth evaluation round, addendum to the second compliance report, Malta,</w:t>
      </w:r>
      <w:r w:rsidRPr="002F67B6">
        <w:rPr>
          <w:noProof/>
          <w:sz w:val="22"/>
          <w:szCs w:val="22"/>
          <w:lang w:eastAsia="fr-FR"/>
        </w:rPr>
        <w:t xml:space="preserve"> </w:t>
      </w:r>
      <w:hyperlink r:id="rId45" w:history="1">
        <w:r w:rsidRPr="002F67B6">
          <w:rPr>
            <w:noProof/>
            <w:color w:val="0563C1" w:themeColor="hyperlink"/>
            <w:sz w:val="22"/>
            <w:szCs w:val="22"/>
            <w:u w:val="single"/>
            <w:lang w:eastAsia="fr-FR"/>
          </w:rPr>
          <w:t>https://rm.coe.int/fifth-evaluation-round-preventing-corruption-and-promoting-integrity-i/4880297b95</w:t>
        </w:r>
      </w:hyperlink>
      <w:r w:rsidR="002F7B53">
        <w:rPr>
          <w:noProof/>
        </w:rPr>
        <w:t>.</w:t>
      </w:r>
    </w:p>
    <w:p w14:paraId="4F692B46" w14:textId="1DAFE9F9" w:rsidR="002F67B6" w:rsidRPr="002F67B6" w:rsidRDefault="002F67B6" w:rsidP="002F67B6">
      <w:pPr>
        <w:spacing w:after="120"/>
        <w:rPr>
          <w:noProof/>
          <w:sz w:val="22"/>
          <w:szCs w:val="22"/>
          <w:lang w:eastAsia="en-GB"/>
        </w:rPr>
      </w:pPr>
      <w:r w:rsidRPr="002F67B6">
        <w:rPr>
          <w:noProof/>
          <w:sz w:val="22"/>
          <w:szCs w:val="22"/>
          <w:lang w:eastAsia="en-GB"/>
        </w:rPr>
        <w:t xml:space="preserve">House of Representatives (2026a), </w:t>
      </w:r>
      <w:r w:rsidRPr="002F67B6">
        <w:rPr>
          <w:i/>
          <w:noProof/>
          <w:sz w:val="22"/>
          <w:szCs w:val="22"/>
          <w:lang w:eastAsia="en-GB"/>
        </w:rPr>
        <w:t xml:space="preserve">Bill 19 – </w:t>
      </w:r>
      <w:r w:rsidRPr="002F67B6">
        <w:rPr>
          <w:rFonts w:eastAsiaTheme="minorHAnsi"/>
          <w:i/>
          <w:noProof/>
          <w:sz w:val="22"/>
          <w:szCs w:val="22"/>
          <w:lang w:val="en-IE" w:eastAsia="en-US"/>
        </w:rPr>
        <w:t>Protection of the Media and Journalists (Various Laws) (Amendment) Bill</w:t>
      </w:r>
      <w:r w:rsidRPr="002F67B6">
        <w:rPr>
          <w:rFonts w:eastAsiaTheme="minorHAnsi"/>
          <w:noProof/>
          <w:sz w:val="22"/>
          <w:szCs w:val="22"/>
          <w:lang w:val="en-IE" w:eastAsia="en-US"/>
        </w:rPr>
        <w:t xml:space="preserve">, </w:t>
      </w:r>
      <w:hyperlink r:id="rId46" w:history="1">
        <w:r w:rsidRPr="002F67B6">
          <w:rPr>
            <w:rFonts w:eastAsiaTheme="minorHAnsi"/>
            <w:noProof/>
            <w:color w:val="0563C1" w:themeColor="hyperlink"/>
            <w:sz w:val="22"/>
            <w:szCs w:val="22"/>
            <w:u w:val="single"/>
            <w:lang w:val="en-IE" w:eastAsia="en-US"/>
          </w:rPr>
          <w:t>https://www.parlament.mt/en/14th-leg/bills/bill-019-protection-of-the-media-and-journalists-various-laws-amendment-bill/</w:t>
        </w:r>
      </w:hyperlink>
      <w:r w:rsidR="002F7B53">
        <w:rPr>
          <w:rFonts w:eastAsiaTheme="minorHAnsi"/>
          <w:noProof/>
          <w:sz w:val="22"/>
          <w:szCs w:val="22"/>
          <w:lang w:val="en-IE" w:eastAsia="en-US"/>
        </w:rPr>
        <w:t>.</w:t>
      </w:r>
    </w:p>
    <w:p w14:paraId="10AE02EF" w14:textId="4B1C4934" w:rsidR="002F67B6" w:rsidRPr="002F67B6" w:rsidRDefault="002F67B6" w:rsidP="002F67B6">
      <w:pPr>
        <w:spacing w:after="120"/>
        <w:rPr>
          <w:noProof/>
          <w:sz w:val="22"/>
          <w:szCs w:val="22"/>
          <w:lang w:eastAsia="en-GB"/>
        </w:rPr>
      </w:pPr>
      <w:r w:rsidRPr="002F67B6">
        <w:rPr>
          <w:noProof/>
          <w:sz w:val="22"/>
          <w:szCs w:val="22"/>
          <w:lang w:eastAsia="en-GB"/>
        </w:rPr>
        <w:t xml:space="preserve">House of Representatives (2026b), </w:t>
      </w:r>
      <w:r w:rsidRPr="002F67B6">
        <w:rPr>
          <w:i/>
          <w:noProof/>
          <w:sz w:val="22"/>
          <w:szCs w:val="22"/>
          <w:lang w:eastAsia="en-GB"/>
        </w:rPr>
        <w:t xml:space="preserve">Bill 18 – </w:t>
      </w:r>
      <w:r w:rsidRPr="002F67B6">
        <w:rPr>
          <w:rFonts w:eastAsiaTheme="minorHAnsi"/>
          <w:i/>
          <w:noProof/>
          <w:sz w:val="22"/>
          <w:szCs w:val="22"/>
          <w:lang w:val="en-IE" w:eastAsia="en-US"/>
        </w:rPr>
        <w:t>Constitution of Malta (Amendment) Bill</w:t>
      </w:r>
      <w:r w:rsidRPr="002F67B6">
        <w:rPr>
          <w:rFonts w:eastAsiaTheme="minorHAnsi"/>
          <w:noProof/>
          <w:sz w:val="22"/>
          <w:szCs w:val="22"/>
          <w:lang w:val="en-IE" w:eastAsia="en-US"/>
        </w:rPr>
        <w:t xml:space="preserve">, </w:t>
      </w:r>
      <w:hyperlink r:id="rId47" w:history="1">
        <w:r w:rsidRPr="002F67B6">
          <w:rPr>
            <w:rFonts w:eastAsiaTheme="minorHAnsi"/>
            <w:noProof/>
            <w:color w:val="0563C1" w:themeColor="hyperlink"/>
            <w:sz w:val="22"/>
            <w:szCs w:val="22"/>
            <w:u w:val="single"/>
            <w:lang w:val="en-IE" w:eastAsia="en-US"/>
          </w:rPr>
          <w:t>https://www.parlament.mt/en/14th-leg/bills/bill-018-constitution-of-malta-amendment-bill/</w:t>
        </w:r>
      </w:hyperlink>
      <w:r w:rsidR="002F7B53">
        <w:rPr>
          <w:rFonts w:eastAsiaTheme="minorHAnsi"/>
          <w:noProof/>
          <w:sz w:val="22"/>
          <w:szCs w:val="22"/>
          <w:lang w:val="en-IE" w:eastAsia="en-US"/>
        </w:rPr>
        <w:t>.</w:t>
      </w:r>
    </w:p>
    <w:p w14:paraId="7EB350E1" w14:textId="6B29C77D" w:rsidR="002F67B6" w:rsidRPr="002F67B6" w:rsidRDefault="002F67B6" w:rsidP="002F67B6">
      <w:pPr>
        <w:spacing w:after="120"/>
        <w:rPr>
          <w:noProof/>
          <w:sz w:val="22"/>
          <w:szCs w:val="22"/>
          <w:lang w:eastAsia="en-GB"/>
        </w:rPr>
      </w:pPr>
      <w:r w:rsidRPr="002F67B6">
        <w:rPr>
          <w:noProof/>
          <w:sz w:val="22"/>
          <w:szCs w:val="22"/>
          <w:lang w:eastAsia="en-GB"/>
        </w:rPr>
        <w:t xml:space="preserve">House of Representatives (2026c), </w:t>
      </w:r>
      <w:r w:rsidRPr="002F67B6">
        <w:rPr>
          <w:i/>
          <w:noProof/>
          <w:sz w:val="22"/>
          <w:szCs w:val="22"/>
          <w:lang w:eastAsia="en-GB"/>
        </w:rPr>
        <w:t xml:space="preserve">Bill 17 – </w:t>
      </w:r>
      <w:r w:rsidRPr="002F67B6">
        <w:rPr>
          <w:rFonts w:eastAsiaTheme="minorHAnsi"/>
          <w:i/>
          <w:noProof/>
          <w:sz w:val="22"/>
          <w:szCs w:val="22"/>
          <w:lang w:val="en-IE" w:eastAsia="en-US"/>
        </w:rPr>
        <w:t>Committee for the Recommendation of Measures for the Protection of Journalists, other Media Actors and Persons in Public Life (Establishment) Bill</w:t>
      </w:r>
      <w:r w:rsidRPr="002F67B6">
        <w:rPr>
          <w:rFonts w:eastAsiaTheme="minorHAnsi"/>
          <w:noProof/>
          <w:sz w:val="22"/>
          <w:szCs w:val="22"/>
          <w:lang w:val="en-IE" w:eastAsia="en-US"/>
        </w:rPr>
        <w:t xml:space="preserve">, </w:t>
      </w:r>
      <w:hyperlink r:id="rId48" w:history="1">
        <w:r w:rsidRPr="002F67B6">
          <w:rPr>
            <w:rFonts w:eastAsiaTheme="minorHAnsi"/>
            <w:noProof/>
            <w:color w:val="0563C1" w:themeColor="hyperlink"/>
            <w:sz w:val="22"/>
            <w:szCs w:val="22"/>
            <w:u w:val="single"/>
            <w:lang w:val="en-IE" w:eastAsia="en-US"/>
          </w:rPr>
          <w:t>https://www.parlament.mt/en/14th-leg/bills/bill-017-committee-for-the-recommendation-of-measures-for-the-protection-of-journalistspdf/</w:t>
        </w:r>
      </w:hyperlink>
      <w:r w:rsidR="002F7B53">
        <w:rPr>
          <w:rFonts w:eastAsiaTheme="minorHAnsi"/>
          <w:noProof/>
          <w:sz w:val="22"/>
          <w:szCs w:val="22"/>
          <w:lang w:val="en-IE" w:eastAsia="en-US"/>
        </w:rPr>
        <w:t>.</w:t>
      </w:r>
    </w:p>
    <w:p w14:paraId="4032C192" w14:textId="671A9959" w:rsidR="002F67B6" w:rsidRPr="002F67B6" w:rsidRDefault="002F67B6" w:rsidP="002F67B6">
      <w:pPr>
        <w:spacing w:after="120"/>
        <w:rPr>
          <w:noProof/>
          <w:sz w:val="22"/>
          <w:szCs w:val="22"/>
          <w:lang w:eastAsia="en-GB"/>
        </w:rPr>
      </w:pPr>
      <w:r w:rsidRPr="002F67B6">
        <w:rPr>
          <w:noProof/>
          <w:sz w:val="22"/>
          <w:szCs w:val="22"/>
          <w:lang w:eastAsia="en-GB"/>
        </w:rPr>
        <w:t xml:space="preserve">House of Representatives (2025a), </w:t>
      </w:r>
      <w:r w:rsidRPr="002F67B6">
        <w:rPr>
          <w:i/>
          <w:noProof/>
          <w:sz w:val="22"/>
          <w:szCs w:val="22"/>
          <w:lang w:eastAsia="en-GB"/>
        </w:rPr>
        <w:t xml:space="preserve">Bill 144 – </w:t>
      </w:r>
      <w:r w:rsidRPr="002F67B6">
        <w:rPr>
          <w:rFonts w:eastAsiaTheme="minorHAnsi"/>
          <w:i/>
          <w:noProof/>
          <w:sz w:val="22"/>
          <w:szCs w:val="22"/>
          <w:lang w:val="en-IE" w:eastAsia="en-US"/>
        </w:rPr>
        <w:t>Environment and Planning Review Tribunal</w:t>
      </w:r>
      <w:r w:rsidRPr="002F67B6">
        <w:rPr>
          <w:rFonts w:eastAsiaTheme="minorHAnsi"/>
          <w:noProof/>
          <w:sz w:val="22"/>
          <w:szCs w:val="22"/>
          <w:lang w:val="en-IE" w:eastAsia="en-US"/>
        </w:rPr>
        <w:t xml:space="preserve"> </w:t>
      </w:r>
      <w:r w:rsidRPr="002F67B6">
        <w:rPr>
          <w:rFonts w:eastAsiaTheme="minorHAnsi"/>
          <w:i/>
          <w:noProof/>
          <w:sz w:val="22"/>
          <w:szCs w:val="22"/>
          <w:lang w:val="en-IE" w:eastAsia="en-US"/>
        </w:rPr>
        <w:t>Bill</w:t>
      </w:r>
      <w:r w:rsidRPr="002F67B6">
        <w:rPr>
          <w:rFonts w:eastAsiaTheme="minorHAnsi"/>
          <w:noProof/>
          <w:sz w:val="22"/>
          <w:szCs w:val="22"/>
          <w:lang w:val="en-IE" w:eastAsia="en-US"/>
        </w:rPr>
        <w:t xml:space="preserve">, </w:t>
      </w:r>
      <w:hyperlink r:id="rId49" w:history="1">
        <w:r w:rsidRPr="002F67B6">
          <w:rPr>
            <w:rFonts w:eastAsiaTheme="minorHAnsi"/>
            <w:noProof/>
            <w:color w:val="0563C1" w:themeColor="hyperlink"/>
            <w:sz w:val="22"/>
            <w:szCs w:val="22"/>
            <w:u w:val="single"/>
            <w:lang w:val="en-IE" w:eastAsia="en-US"/>
          </w:rPr>
          <w:t>https://parlament.mt/14th-leg/bills/bill-144-environment-and-planning-review-tribunal/</w:t>
        </w:r>
      </w:hyperlink>
      <w:r w:rsidR="002F7B53">
        <w:rPr>
          <w:rFonts w:eastAsiaTheme="minorHAnsi"/>
          <w:noProof/>
          <w:sz w:val="22"/>
          <w:szCs w:val="22"/>
          <w:lang w:val="en-IE" w:eastAsia="en-US"/>
        </w:rPr>
        <w:t>.</w:t>
      </w:r>
    </w:p>
    <w:p w14:paraId="7638E55D" w14:textId="15818479" w:rsidR="002F67B6" w:rsidRPr="002F67B6" w:rsidRDefault="002F67B6" w:rsidP="002F67B6">
      <w:pPr>
        <w:spacing w:after="120"/>
        <w:rPr>
          <w:noProof/>
          <w:sz w:val="22"/>
          <w:szCs w:val="22"/>
          <w:lang w:eastAsia="en-GB"/>
        </w:rPr>
      </w:pPr>
      <w:r w:rsidRPr="002F67B6">
        <w:rPr>
          <w:noProof/>
          <w:sz w:val="22"/>
          <w:szCs w:val="22"/>
          <w:lang w:eastAsia="en-GB"/>
        </w:rPr>
        <w:t xml:space="preserve">House of Representatives (2025b), </w:t>
      </w:r>
      <w:r w:rsidRPr="002F67B6">
        <w:rPr>
          <w:i/>
          <w:noProof/>
          <w:sz w:val="22"/>
          <w:szCs w:val="22"/>
          <w:lang w:eastAsia="en-GB"/>
        </w:rPr>
        <w:t xml:space="preserve">Bill 143 – </w:t>
      </w:r>
      <w:r w:rsidRPr="002F67B6">
        <w:rPr>
          <w:rFonts w:eastAsiaTheme="minorHAnsi"/>
          <w:i/>
          <w:noProof/>
          <w:sz w:val="22"/>
          <w:szCs w:val="22"/>
          <w:lang w:val="en-IE" w:eastAsia="en-US"/>
        </w:rPr>
        <w:t>Development Planning (Amendment) Bill,</w:t>
      </w:r>
      <w:r w:rsidRPr="002F67B6">
        <w:rPr>
          <w:rFonts w:eastAsiaTheme="minorHAnsi"/>
          <w:noProof/>
          <w:sz w:val="22"/>
          <w:szCs w:val="22"/>
          <w:lang w:val="en-IE" w:eastAsia="en-US"/>
        </w:rPr>
        <w:t xml:space="preserve"> </w:t>
      </w:r>
      <w:hyperlink r:id="rId50" w:history="1">
        <w:r w:rsidRPr="002F67B6">
          <w:rPr>
            <w:noProof/>
            <w:color w:val="0563C1" w:themeColor="hyperlink"/>
            <w:sz w:val="22"/>
            <w:szCs w:val="22"/>
            <w:u w:val="single"/>
            <w:lang w:eastAsia="en-GB"/>
          </w:rPr>
          <w:t>https://www.parlament.mt/14th-leg/bills/bill-143-development-planning/</w:t>
        </w:r>
      </w:hyperlink>
      <w:r w:rsidR="002F7B53">
        <w:rPr>
          <w:noProof/>
          <w:sz w:val="22"/>
          <w:szCs w:val="22"/>
          <w:lang w:eastAsia="en-GB"/>
        </w:rPr>
        <w:t>.</w:t>
      </w:r>
    </w:p>
    <w:p w14:paraId="7FC40D21" w14:textId="28B20992" w:rsidR="002F67B6" w:rsidRPr="002F67B6" w:rsidRDefault="002F67B6" w:rsidP="002F67B6">
      <w:pPr>
        <w:spacing w:after="120"/>
        <w:rPr>
          <w:noProof/>
          <w:sz w:val="22"/>
          <w:szCs w:val="22"/>
          <w:lang w:eastAsia="en-GB"/>
        </w:rPr>
      </w:pPr>
      <w:r w:rsidRPr="002F67B6">
        <w:rPr>
          <w:noProof/>
          <w:sz w:val="22"/>
          <w:szCs w:val="22"/>
          <w:lang w:eastAsia="en-GB"/>
        </w:rPr>
        <w:t xml:space="preserve">House of Representatives (2025c), </w:t>
      </w:r>
      <w:r w:rsidRPr="002F67B6">
        <w:rPr>
          <w:i/>
          <w:noProof/>
          <w:sz w:val="22"/>
          <w:szCs w:val="22"/>
          <w:lang w:eastAsia="en-GB"/>
        </w:rPr>
        <w:t>Bill 134 – An Act to amend the Constitution of Malta</w:t>
      </w:r>
      <w:r w:rsidRPr="002F67B6">
        <w:rPr>
          <w:noProof/>
          <w:sz w:val="22"/>
          <w:szCs w:val="22"/>
          <w:lang w:eastAsia="en-GB"/>
        </w:rPr>
        <w:t xml:space="preserve">, </w:t>
      </w:r>
      <w:hyperlink r:id="rId51" w:history="1">
        <w:r w:rsidRPr="002F67B6">
          <w:rPr>
            <w:noProof/>
            <w:color w:val="0563C1" w:themeColor="hyperlink"/>
            <w:sz w:val="22"/>
            <w:szCs w:val="22"/>
            <w:u w:val="single"/>
            <w:lang w:eastAsia="en-GB"/>
          </w:rPr>
          <w:t>https://parlament.mt/media/134013/bill-134-constitution-of-malta-amendment-bill.pdf</w:t>
        </w:r>
      </w:hyperlink>
      <w:r w:rsidRPr="002F67B6">
        <w:rPr>
          <w:noProof/>
          <w:sz w:val="22"/>
          <w:szCs w:val="22"/>
          <w:lang w:eastAsia="en-GB"/>
        </w:rPr>
        <w:t>.</w:t>
      </w:r>
    </w:p>
    <w:p w14:paraId="1F389E01" w14:textId="30DA494D" w:rsidR="002F67B6" w:rsidRPr="002F67B6" w:rsidRDefault="002F67B6" w:rsidP="002F67B6">
      <w:pPr>
        <w:spacing w:after="120"/>
        <w:rPr>
          <w:rFonts w:eastAsiaTheme="minorHAnsi"/>
          <w:noProof/>
          <w:sz w:val="22"/>
          <w:szCs w:val="22"/>
          <w:lang w:eastAsia="en-US"/>
        </w:rPr>
      </w:pPr>
      <w:r w:rsidRPr="002F67B6">
        <w:rPr>
          <w:rFonts w:eastAsiaTheme="minorHAnsi"/>
          <w:noProof/>
          <w:sz w:val="22"/>
          <w:szCs w:val="22"/>
          <w:lang w:eastAsia="en-US"/>
        </w:rPr>
        <w:t xml:space="preserve">IMF (2026), </w:t>
      </w:r>
      <w:r w:rsidRPr="002F67B6">
        <w:rPr>
          <w:rFonts w:eastAsiaTheme="minorHAnsi"/>
          <w:i/>
          <w:noProof/>
          <w:sz w:val="22"/>
          <w:szCs w:val="22"/>
          <w:lang w:val="en-US" w:eastAsia="en-US"/>
        </w:rPr>
        <w:t>Malta 2025 Article IV consultation—press release and staff report</w:t>
      </w:r>
      <w:r w:rsidRPr="002F67B6">
        <w:rPr>
          <w:rFonts w:eastAsiaTheme="minorHAnsi"/>
          <w:noProof/>
          <w:sz w:val="22"/>
          <w:szCs w:val="22"/>
          <w:lang w:val="en-US" w:eastAsia="en-US"/>
        </w:rPr>
        <w:t>, February 2026,</w:t>
      </w:r>
      <w:r w:rsidRPr="002F67B6">
        <w:rPr>
          <w:rFonts w:eastAsiaTheme="minorHAnsi"/>
          <w:noProof/>
          <w:sz w:val="22"/>
          <w:szCs w:val="22"/>
          <w:lang w:eastAsia="en-US"/>
        </w:rPr>
        <w:t xml:space="preserve"> </w:t>
      </w:r>
      <w:hyperlink r:id="rId52" w:history="1">
        <w:r w:rsidRPr="002F67B6">
          <w:rPr>
            <w:rFonts w:eastAsiaTheme="minorHAnsi"/>
            <w:noProof/>
            <w:color w:val="0563C1" w:themeColor="hyperlink"/>
            <w:sz w:val="22"/>
            <w:szCs w:val="22"/>
            <w:u w:val="single"/>
            <w:lang w:eastAsia="en-US"/>
          </w:rPr>
          <w:t>https://www.imf.org/-/media/files/publications/cr/2026/english/1mltea2026001-source-pdf.pdf</w:t>
        </w:r>
      </w:hyperlink>
      <w:r w:rsidRPr="002F67B6">
        <w:rPr>
          <w:rFonts w:eastAsiaTheme="minorHAnsi"/>
          <w:noProof/>
          <w:sz w:val="22"/>
          <w:szCs w:val="22"/>
          <w:lang w:eastAsia="en-US"/>
        </w:rPr>
        <w:t>.</w:t>
      </w:r>
    </w:p>
    <w:p w14:paraId="5A125F4F" w14:textId="2909B49D" w:rsidR="002F67B6" w:rsidRPr="002F67B6" w:rsidRDefault="002F67B6" w:rsidP="002F67B6">
      <w:pPr>
        <w:spacing w:after="120"/>
        <w:rPr>
          <w:rFonts w:eastAsiaTheme="minorHAnsi"/>
          <w:noProof/>
          <w:sz w:val="22"/>
          <w:szCs w:val="22"/>
          <w:lang w:eastAsia="en-US"/>
        </w:rPr>
      </w:pPr>
      <w:r w:rsidRPr="002F67B6">
        <w:rPr>
          <w:rFonts w:eastAsiaTheme="minorHAnsi"/>
          <w:noProof/>
          <w:sz w:val="22"/>
          <w:szCs w:val="22"/>
          <w:lang w:eastAsia="en-US"/>
        </w:rPr>
        <w:t xml:space="preserve">Kevin Aquilina (2025a), The rule of law and government’s planning bills, </w:t>
      </w:r>
      <w:r w:rsidRPr="002F67B6">
        <w:rPr>
          <w:rFonts w:eastAsiaTheme="minorHAnsi"/>
          <w:i/>
          <w:noProof/>
          <w:sz w:val="22"/>
          <w:szCs w:val="22"/>
          <w:lang w:eastAsia="en-US"/>
        </w:rPr>
        <w:t>The Malta Independent on Sunday</w:t>
      </w:r>
      <w:r w:rsidRPr="002F67B6">
        <w:rPr>
          <w:rFonts w:eastAsiaTheme="minorHAnsi"/>
          <w:noProof/>
          <w:sz w:val="22"/>
          <w:szCs w:val="22"/>
          <w:lang w:eastAsia="en-US"/>
        </w:rPr>
        <w:t>, 10 August 2025,</w:t>
      </w:r>
      <w:r w:rsidRPr="002F67B6">
        <w:rPr>
          <w:rFonts w:eastAsiaTheme="minorHAnsi"/>
          <w:noProof/>
          <w:sz w:val="22"/>
          <w:szCs w:val="22"/>
          <w:lang w:val="en-US" w:eastAsia="en-US"/>
        </w:rPr>
        <w:t xml:space="preserve"> </w:t>
      </w:r>
      <w:hyperlink r:id="rId53" w:history="1">
        <w:r w:rsidRPr="002F67B6">
          <w:rPr>
            <w:rFonts w:eastAsiaTheme="minorHAnsi"/>
            <w:noProof/>
            <w:color w:val="0563C1" w:themeColor="hyperlink"/>
            <w:sz w:val="22"/>
            <w:szCs w:val="22"/>
            <w:u w:val="single"/>
            <w:lang w:eastAsia="en-US"/>
          </w:rPr>
          <w:t>https://www.independent.com.mt/articles/2025-08-10/blogs-opinions/The-rule-of-law-and-government-s-planning-bills-6736272249</w:t>
        </w:r>
      </w:hyperlink>
      <w:r w:rsidRPr="002F67B6">
        <w:rPr>
          <w:rFonts w:eastAsiaTheme="minorHAnsi"/>
          <w:noProof/>
          <w:sz w:val="22"/>
          <w:szCs w:val="22"/>
          <w:lang w:eastAsia="en-US"/>
        </w:rPr>
        <w:t>.</w:t>
      </w:r>
    </w:p>
    <w:p w14:paraId="0DDF3677" w14:textId="77777777" w:rsidR="002F67B6" w:rsidRPr="002F67B6" w:rsidRDefault="002F67B6" w:rsidP="002F67B6">
      <w:pPr>
        <w:spacing w:after="120"/>
        <w:rPr>
          <w:rFonts w:eastAsiaTheme="minorHAnsi"/>
          <w:noProof/>
          <w:sz w:val="22"/>
          <w:szCs w:val="22"/>
          <w:lang w:eastAsia="en-US"/>
        </w:rPr>
      </w:pPr>
      <w:r w:rsidRPr="002F67B6">
        <w:rPr>
          <w:rFonts w:eastAsiaTheme="minorHAnsi"/>
          <w:noProof/>
          <w:sz w:val="22"/>
          <w:szCs w:val="22"/>
          <w:lang w:eastAsia="en-US"/>
        </w:rPr>
        <w:t>Kevin Aquilina (2025b)</w:t>
      </w:r>
      <w:r w:rsidRPr="002F67B6">
        <w:rPr>
          <w:rFonts w:eastAsiaTheme="minorHAnsi"/>
          <w:noProof/>
          <w:sz w:val="22"/>
          <w:szCs w:val="22"/>
          <w:lang w:val="en-US" w:eastAsia="en-US"/>
        </w:rPr>
        <w:t xml:space="preserve"> </w:t>
      </w:r>
      <w:r w:rsidRPr="002F67B6">
        <w:rPr>
          <w:rFonts w:eastAsiaTheme="minorHAnsi"/>
          <w:noProof/>
          <w:sz w:val="22"/>
          <w:szCs w:val="22"/>
          <w:lang w:eastAsia="en-US"/>
        </w:rPr>
        <w:t xml:space="preserve">Government’s legalised rape of Malta’s environment, </w:t>
      </w:r>
      <w:r w:rsidRPr="002F67B6">
        <w:rPr>
          <w:rFonts w:eastAsiaTheme="minorHAnsi"/>
          <w:i/>
          <w:noProof/>
          <w:sz w:val="22"/>
          <w:szCs w:val="22"/>
          <w:lang w:eastAsia="en-US"/>
        </w:rPr>
        <w:t>The Malta Independent on Sunday</w:t>
      </w:r>
      <w:r w:rsidRPr="002F67B6">
        <w:rPr>
          <w:rFonts w:eastAsiaTheme="minorHAnsi"/>
          <w:noProof/>
          <w:sz w:val="22"/>
          <w:szCs w:val="22"/>
          <w:lang w:eastAsia="en-US"/>
        </w:rPr>
        <w:t xml:space="preserve">, 3 August 2025, </w:t>
      </w:r>
      <w:hyperlink r:id="rId54" w:history="1">
        <w:r w:rsidRPr="002F67B6">
          <w:rPr>
            <w:rFonts w:eastAsiaTheme="minorHAnsi"/>
            <w:noProof/>
            <w:color w:val="0563C1" w:themeColor="hyperlink"/>
            <w:sz w:val="22"/>
            <w:szCs w:val="22"/>
            <w:u w:val="single"/>
            <w:lang w:eastAsia="en-US"/>
          </w:rPr>
          <w:t>https://www.independent.com.mt/articles/2025-08-03/blogs-opinions/Government-s-legalised-rape-of-Malta-s-environment-6736272086</w:t>
        </w:r>
      </w:hyperlink>
      <w:r w:rsidRPr="002F67B6">
        <w:rPr>
          <w:rFonts w:eastAsiaTheme="minorHAnsi"/>
          <w:noProof/>
          <w:sz w:val="22"/>
          <w:szCs w:val="22"/>
          <w:lang w:eastAsia="en-US"/>
        </w:rPr>
        <w:t>.</w:t>
      </w:r>
    </w:p>
    <w:p w14:paraId="473921C3" w14:textId="465768E0" w:rsidR="002F67B6" w:rsidRPr="002F67B6" w:rsidRDefault="002F67B6" w:rsidP="002F67B6">
      <w:pPr>
        <w:spacing w:after="120"/>
        <w:rPr>
          <w:noProof/>
          <w:sz w:val="22"/>
          <w:szCs w:val="22"/>
          <w:lang w:eastAsia="en-GB"/>
        </w:rPr>
      </w:pPr>
      <w:r w:rsidRPr="002F67B6">
        <w:rPr>
          <w:rFonts w:eastAsiaTheme="minorHAnsi"/>
          <w:noProof/>
          <w:sz w:val="22"/>
          <w:szCs w:val="22"/>
          <w:lang w:eastAsia="en-US"/>
        </w:rPr>
        <w:t>Legislation.mt (2026)</w:t>
      </w:r>
      <w:r w:rsidRPr="002F67B6">
        <w:rPr>
          <w:rFonts w:eastAsiaTheme="minorHAnsi"/>
          <w:noProof/>
          <w:sz w:val="22"/>
          <w:szCs w:val="22"/>
          <w:lang w:val="en-US" w:eastAsia="en-US"/>
        </w:rPr>
        <w:t xml:space="preserve">, </w:t>
      </w:r>
      <w:r w:rsidRPr="002F67B6">
        <w:rPr>
          <w:rFonts w:eastAsiaTheme="minorHAnsi"/>
          <w:i/>
          <w:noProof/>
          <w:sz w:val="22"/>
          <w:szCs w:val="22"/>
          <w:lang w:val="en-US" w:eastAsia="en-US"/>
        </w:rPr>
        <w:t>Legal Notices</w:t>
      </w:r>
      <w:r w:rsidRPr="002F67B6">
        <w:rPr>
          <w:rFonts w:eastAsiaTheme="minorHAnsi"/>
          <w:noProof/>
          <w:sz w:val="22"/>
          <w:szCs w:val="22"/>
          <w:lang w:val="en-US" w:eastAsia="en-US"/>
        </w:rPr>
        <w:t xml:space="preserve">, </w:t>
      </w:r>
      <w:hyperlink r:id="rId55" w:history="1">
        <w:r w:rsidRPr="002F67B6">
          <w:rPr>
            <w:rFonts w:eastAsiaTheme="minorHAnsi"/>
            <w:noProof/>
            <w:color w:val="0563C1" w:themeColor="hyperlink"/>
            <w:sz w:val="22"/>
            <w:szCs w:val="22"/>
            <w:u w:val="single"/>
            <w:lang w:val="en-US" w:eastAsia="en-US"/>
          </w:rPr>
          <w:t>https://legislation.mt/LegalNotices</w:t>
        </w:r>
      </w:hyperlink>
      <w:r w:rsidRPr="002F67B6">
        <w:rPr>
          <w:rFonts w:eastAsiaTheme="minorHAnsi"/>
          <w:noProof/>
          <w:sz w:val="22"/>
          <w:szCs w:val="22"/>
          <w:lang w:eastAsia="en-US"/>
        </w:rPr>
        <w:t>.</w:t>
      </w:r>
    </w:p>
    <w:p w14:paraId="75D107F5" w14:textId="275FC506" w:rsidR="002F67B6" w:rsidRPr="002F67B6" w:rsidRDefault="002F67B6" w:rsidP="002F67B6">
      <w:pPr>
        <w:spacing w:after="120"/>
        <w:rPr>
          <w:noProof/>
          <w:sz w:val="22"/>
          <w:szCs w:val="22"/>
          <w:lang w:eastAsia="en-GB"/>
        </w:rPr>
      </w:pPr>
      <w:r w:rsidRPr="002F67B6">
        <w:rPr>
          <w:noProof/>
          <w:sz w:val="22"/>
          <w:szCs w:val="22"/>
          <w:lang w:eastAsia="en-GB"/>
        </w:rPr>
        <w:t>Malta Chamber of Commerce (2026),</w:t>
      </w:r>
      <w:r w:rsidRPr="002F67B6">
        <w:rPr>
          <w:i/>
          <w:noProof/>
          <w:sz w:val="22"/>
          <w:szCs w:val="22"/>
          <w:lang w:eastAsia="en-GB"/>
        </w:rPr>
        <w:t xml:space="preserve"> Written input for the 2026 Rule of Law Report</w:t>
      </w:r>
      <w:r w:rsidR="002F7B53">
        <w:rPr>
          <w:i/>
          <w:noProof/>
          <w:sz w:val="22"/>
          <w:szCs w:val="22"/>
          <w:lang w:eastAsia="en-GB"/>
        </w:rPr>
        <w:t>.</w:t>
      </w:r>
    </w:p>
    <w:p w14:paraId="6F2B4533" w14:textId="337F7C83" w:rsidR="002F67B6" w:rsidRPr="002F67B6" w:rsidRDefault="002F67B6" w:rsidP="002F67B6">
      <w:pPr>
        <w:spacing w:after="120"/>
        <w:rPr>
          <w:noProof/>
          <w:sz w:val="22"/>
          <w:szCs w:val="22"/>
          <w:lang w:eastAsia="fr-FR"/>
        </w:rPr>
      </w:pPr>
      <w:r w:rsidRPr="002F67B6">
        <w:rPr>
          <w:noProof/>
          <w:sz w:val="22"/>
          <w:szCs w:val="22"/>
          <w:lang w:eastAsia="fr-FR"/>
        </w:rPr>
        <w:t xml:space="preserve">Malta Police Force (2025), </w:t>
      </w:r>
      <w:r w:rsidRPr="002F67B6">
        <w:rPr>
          <w:i/>
          <w:noProof/>
          <w:sz w:val="22"/>
          <w:szCs w:val="22"/>
          <w:lang w:eastAsia="fr-FR"/>
        </w:rPr>
        <w:t>Safer Communities, Smarter Policing – Malta Police Corporate Strategy 2025-2030</w:t>
      </w:r>
      <w:r w:rsidRPr="002F67B6">
        <w:rPr>
          <w:noProof/>
          <w:sz w:val="22"/>
          <w:szCs w:val="22"/>
          <w:lang w:eastAsia="fr-FR"/>
        </w:rPr>
        <w:t xml:space="preserve">, </w:t>
      </w:r>
      <w:hyperlink r:id="rId56" w:history="1">
        <w:r w:rsidRPr="002F67B6">
          <w:rPr>
            <w:noProof/>
            <w:color w:val="0563C1" w:themeColor="hyperlink"/>
            <w:sz w:val="22"/>
            <w:szCs w:val="22"/>
            <w:u w:val="single"/>
            <w:lang w:eastAsia="fr-FR"/>
          </w:rPr>
          <w:t>https://pulizija.gov.mt/wp-content/uploads/2025/09/Corporate-Strategy-2025-2030.pdf</w:t>
        </w:r>
      </w:hyperlink>
      <w:r w:rsidR="002F7B53">
        <w:rPr>
          <w:noProof/>
          <w:sz w:val="22"/>
          <w:szCs w:val="22"/>
          <w:lang w:eastAsia="fr-FR"/>
        </w:rPr>
        <w:t>.</w:t>
      </w:r>
    </w:p>
    <w:p w14:paraId="6A0AB7D3" w14:textId="74A3511F" w:rsidR="002F67B6" w:rsidRPr="002F67B6" w:rsidRDefault="002F67B6" w:rsidP="002F67B6">
      <w:pPr>
        <w:spacing w:after="120"/>
        <w:rPr>
          <w:i/>
          <w:noProof/>
          <w:sz w:val="22"/>
          <w:szCs w:val="22"/>
          <w:lang w:eastAsia="en-GB"/>
        </w:rPr>
      </w:pPr>
      <w:r w:rsidRPr="002F67B6">
        <w:rPr>
          <w:noProof/>
          <w:sz w:val="22"/>
          <w:szCs w:val="22"/>
          <w:lang w:eastAsia="en-GB"/>
        </w:rPr>
        <w:t xml:space="preserve">Maltese Government (2026), </w:t>
      </w:r>
      <w:r w:rsidRPr="002F67B6">
        <w:rPr>
          <w:i/>
          <w:noProof/>
          <w:sz w:val="22"/>
          <w:szCs w:val="22"/>
          <w:lang w:eastAsia="en-GB"/>
        </w:rPr>
        <w:t>Written input for the 2026 Rule of Law Report</w:t>
      </w:r>
      <w:r w:rsidR="002F7B53">
        <w:rPr>
          <w:i/>
          <w:noProof/>
          <w:sz w:val="22"/>
          <w:szCs w:val="22"/>
          <w:lang w:eastAsia="en-GB"/>
        </w:rPr>
        <w:t>.</w:t>
      </w:r>
    </w:p>
    <w:p w14:paraId="383B150F" w14:textId="101302E4" w:rsidR="002F67B6" w:rsidRPr="002F67B6" w:rsidRDefault="002F67B6" w:rsidP="002F67B6">
      <w:pPr>
        <w:spacing w:after="120"/>
        <w:rPr>
          <w:rFonts w:eastAsiaTheme="minorHAnsi"/>
          <w:noProof/>
          <w:sz w:val="22"/>
          <w:szCs w:val="22"/>
          <w:lang w:eastAsia="en-US"/>
        </w:rPr>
      </w:pPr>
      <w:r w:rsidRPr="002F67B6">
        <w:rPr>
          <w:rFonts w:eastAsiaTheme="minorHAnsi"/>
          <w:noProof/>
          <w:sz w:val="22"/>
          <w:szCs w:val="22"/>
          <w:lang w:eastAsia="en-US"/>
        </w:rPr>
        <w:t>Media Pluralism Monitor (2026), forthcoming.</w:t>
      </w:r>
    </w:p>
    <w:p w14:paraId="4DA3C082" w14:textId="647F163E" w:rsidR="002F67B6" w:rsidRPr="002F67B6" w:rsidRDefault="002F67B6" w:rsidP="002F67B6">
      <w:pPr>
        <w:spacing w:after="120"/>
        <w:rPr>
          <w:rFonts w:eastAsiaTheme="minorHAnsi"/>
          <w:noProof/>
          <w:sz w:val="22"/>
          <w:szCs w:val="22"/>
          <w:lang w:eastAsia="en-US"/>
        </w:rPr>
      </w:pPr>
      <w:r w:rsidRPr="002F67B6">
        <w:rPr>
          <w:rFonts w:eastAsiaTheme="minorHAnsi"/>
          <w:noProof/>
          <w:sz w:val="22"/>
          <w:szCs w:val="22"/>
          <w:lang w:eastAsia="en-US"/>
        </w:rPr>
        <w:t xml:space="preserve">Ministry for Finance (2026), </w:t>
      </w:r>
      <w:r w:rsidRPr="002F67B6">
        <w:rPr>
          <w:rFonts w:eastAsiaTheme="minorHAnsi"/>
          <w:i/>
          <w:noProof/>
          <w:sz w:val="22"/>
          <w:szCs w:val="22"/>
          <w:lang w:eastAsia="en-US"/>
        </w:rPr>
        <w:t>Budget 2026</w:t>
      </w:r>
      <w:r w:rsidRPr="002F67B6">
        <w:rPr>
          <w:rFonts w:eastAsiaTheme="minorHAnsi"/>
          <w:noProof/>
          <w:sz w:val="22"/>
          <w:szCs w:val="22"/>
          <w:lang w:val="en-US" w:eastAsia="en-US"/>
        </w:rPr>
        <w:t xml:space="preserve">, </w:t>
      </w:r>
      <w:hyperlink r:id="rId57" w:history="1">
        <w:r w:rsidR="007B5509" w:rsidRPr="00B26AF7">
          <w:rPr>
            <w:rStyle w:val="Hyperlink"/>
            <w:rFonts w:eastAsiaTheme="minorHAnsi"/>
            <w:noProof/>
            <w:sz w:val="22"/>
            <w:szCs w:val="22"/>
            <w:lang w:val="en-US" w:eastAsia="en-US"/>
          </w:rPr>
          <w:t>https://finance.gov.mt/wp-content/uploads/2026/01/Financial-Estimates-2026.pdf</w:t>
        </w:r>
      </w:hyperlink>
      <w:r w:rsidRPr="002F67B6">
        <w:rPr>
          <w:rFonts w:eastAsiaTheme="minorHAnsi"/>
          <w:noProof/>
          <w:sz w:val="22"/>
          <w:szCs w:val="22"/>
          <w:lang w:eastAsia="en-US"/>
        </w:rPr>
        <w:t>.</w:t>
      </w:r>
    </w:p>
    <w:p w14:paraId="1E1D0FD3" w14:textId="340381A0" w:rsidR="002F67B6" w:rsidRPr="002F67B6" w:rsidRDefault="002F67B6" w:rsidP="002F67B6">
      <w:pPr>
        <w:spacing w:after="120"/>
        <w:rPr>
          <w:rFonts w:eastAsiaTheme="minorHAnsi"/>
          <w:noProof/>
          <w:sz w:val="22"/>
          <w:szCs w:val="22"/>
          <w:lang w:eastAsia="en-US"/>
        </w:rPr>
      </w:pPr>
      <w:r w:rsidRPr="002F67B6">
        <w:rPr>
          <w:rFonts w:eastAsiaTheme="minorHAnsi"/>
          <w:noProof/>
          <w:sz w:val="22"/>
          <w:szCs w:val="22"/>
          <w:lang w:eastAsia="en-US"/>
        </w:rPr>
        <w:t xml:space="preserve">Ministry for Justice (2025), </w:t>
      </w:r>
      <w:r w:rsidRPr="002F67B6">
        <w:rPr>
          <w:rFonts w:eastAsiaTheme="minorHAnsi"/>
          <w:i/>
          <w:noProof/>
          <w:sz w:val="22"/>
          <w:szCs w:val="22"/>
          <w:lang w:eastAsia="en-US"/>
        </w:rPr>
        <w:t xml:space="preserve">Press release: Budget 2026 - Unprecedented investment in our Court system, with more specialisation, modern infrastructure and accessible services, </w:t>
      </w:r>
      <w:r w:rsidRPr="002F67B6">
        <w:rPr>
          <w:rFonts w:eastAsiaTheme="minorHAnsi"/>
          <w:noProof/>
          <w:sz w:val="22"/>
          <w:szCs w:val="22"/>
          <w:lang w:eastAsia="en-US"/>
        </w:rPr>
        <w:t xml:space="preserve">17 November 2025, </w:t>
      </w:r>
      <w:hyperlink r:id="rId58" w:history="1">
        <w:r w:rsidRPr="00D7727C">
          <w:rPr>
            <w:rStyle w:val="Hyperlink"/>
            <w:rFonts w:eastAsiaTheme="minorHAnsi"/>
            <w:noProof/>
            <w:sz w:val="22"/>
            <w:szCs w:val="22"/>
            <w:lang w:eastAsia="en-US"/>
          </w:rPr>
          <w:t>https://www.gov.mt/en/Government/DOI/Press%20Releases/Pages/2025/11/17/pr252041en.aspx</w:t>
        </w:r>
      </w:hyperlink>
      <w:r w:rsidRPr="002F67B6">
        <w:rPr>
          <w:rFonts w:eastAsiaTheme="minorHAnsi"/>
          <w:noProof/>
          <w:sz w:val="22"/>
          <w:szCs w:val="22"/>
          <w:lang w:eastAsia="en-US"/>
        </w:rPr>
        <w:t>.</w:t>
      </w:r>
    </w:p>
    <w:p w14:paraId="5BF4C7E6" w14:textId="70E96FC4" w:rsidR="002F67B6" w:rsidRPr="002F67B6" w:rsidRDefault="002F67B6" w:rsidP="002F67B6">
      <w:pPr>
        <w:spacing w:after="120"/>
        <w:rPr>
          <w:rFonts w:eastAsiaTheme="minorHAnsi"/>
          <w:noProof/>
          <w:sz w:val="22"/>
          <w:szCs w:val="22"/>
          <w:lang w:eastAsia="en-US"/>
        </w:rPr>
      </w:pPr>
      <w:r w:rsidRPr="002F67B6">
        <w:rPr>
          <w:rFonts w:eastAsiaTheme="minorHAnsi"/>
          <w:noProof/>
          <w:sz w:val="22"/>
          <w:szCs w:val="22"/>
          <w:lang w:eastAsia="en-US"/>
        </w:rPr>
        <w:t>Ministry for Justice</w:t>
      </w:r>
      <w:r w:rsidR="00681DB9">
        <w:rPr>
          <w:rFonts w:eastAsiaTheme="minorHAnsi"/>
          <w:noProof/>
          <w:sz w:val="22"/>
          <w:szCs w:val="22"/>
          <w:lang w:eastAsia="en-US"/>
        </w:rPr>
        <w:t xml:space="preserve"> (2023)</w:t>
      </w:r>
      <w:r w:rsidRPr="002F67B6">
        <w:rPr>
          <w:rFonts w:eastAsiaTheme="minorHAnsi"/>
          <w:noProof/>
          <w:sz w:val="22"/>
          <w:szCs w:val="22"/>
          <w:lang w:eastAsia="en-US"/>
        </w:rPr>
        <w:t xml:space="preserve">, Press release, 20 December 2023, </w:t>
      </w:r>
      <w:r w:rsidRPr="002F67B6">
        <w:rPr>
          <w:rFonts w:eastAsiaTheme="minorHAnsi" w:cstheme="minorBidi"/>
          <w:noProof/>
          <w:szCs w:val="22"/>
          <w:lang w:val="en-US" w:eastAsia="en-US"/>
        </w:rPr>
        <w:t xml:space="preserve"> </w:t>
      </w:r>
      <w:hyperlink r:id="rId59" w:history="1">
        <w:r w:rsidRPr="002F67B6">
          <w:rPr>
            <w:rFonts w:eastAsiaTheme="minorHAnsi"/>
            <w:noProof/>
            <w:color w:val="0563C1" w:themeColor="hyperlink"/>
            <w:sz w:val="22"/>
            <w:szCs w:val="22"/>
            <w:u w:val="single"/>
            <w:lang w:eastAsia="en-US"/>
          </w:rPr>
          <w:t>https://www.gov.mt/en/Government/Press%20Releases/Pages/2023/12/20/pr231623.aspx</w:t>
        </w:r>
      </w:hyperlink>
      <w:r w:rsidR="002F7B53">
        <w:rPr>
          <w:rFonts w:eastAsiaTheme="minorHAnsi"/>
          <w:noProof/>
          <w:sz w:val="22"/>
          <w:szCs w:val="22"/>
          <w:lang w:eastAsia="en-US"/>
        </w:rPr>
        <w:t>.</w:t>
      </w:r>
    </w:p>
    <w:p w14:paraId="58A5AFE0" w14:textId="666FF8FB" w:rsidR="002F67B6" w:rsidRPr="002F67B6" w:rsidRDefault="002F67B6" w:rsidP="002F67B6">
      <w:pPr>
        <w:spacing w:after="120"/>
        <w:rPr>
          <w:rFonts w:eastAsiaTheme="minorHAnsi"/>
          <w:noProof/>
          <w:sz w:val="22"/>
          <w:szCs w:val="22"/>
          <w:lang w:eastAsia="en-US"/>
        </w:rPr>
      </w:pPr>
      <w:r w:rsidRPr="002F67B6">
        <w:rPr>
          <w:rFonts w:eastAsiaTheme="minorHAnsi"/>
          <w:noProof/>
          <w:sz w:val="22"/>
          <w:szCs w:val="22"/>
          <w:lang w:eastAsia="en-US"/>
        </w:rPr>
        <w:t xml:space="preserve">Ministry for Inclusion and the Voluntary Sector (2025), </w:t>
      </w:r>
      <w:r w:rsidRPr="002F67B6">
        <w:rPr>
          <w:rFonts w:eastAsiaTheme="minorHAnsi"/>
          <w:i/>
          <w:noProof/>
          <w:sz w:val="22"/>
          <w:szCs w:val="22"/>
          <w:lang w:val="en-US" w:eastAsia="en-US"/>
        </w:rPr>
        <w:t>National Volunteering Strategy 2025-2030</w:t>
      </w:r>
      <w:r w:rsidRPr="002F67B6">
        <w:rPr>
          <w:rFonts w:eastAsiaTheme="minorHAnsi"/>
          <w:noProof/>
          <w:sz w:val="22"/>
          <w:szCs w:val="22"/>
          <w:lang w:val="en-US" w:eastAsia="en-US"/>
        </w:rPr>
        <w:t>, December 2025</w:t>
      </w:r>
      <w:r w:rsidRPr="002F67B6">
        <w:rPr>
          <w:rFonts w:eastAsiaTheme="minorHAnsi"/>
          <w:noProof/>
          <w:sz w:val="22"/>
          <w:szCs w:val="22"/>
          <w:lang w:eastAsia="en-US"/>
        </w:rPr>
        <w:t xml:space="preserve"> </w:t>
      </w:r>
      <w:hyperlink r:id="rId60" w:history="1">
        <w:r w:rsidRPr="002F67B6">
          <w:rPr>
            <w:rFonts w:eastAsiaTheme="minorHAnsi"/>
            <w:noProof/>
            <w:color w:val="0563C1" w:themeColor="hyperlink"/>
            <w:sz w:val="22"/>
            <w:szCs w:val="22"/>
            <w:u w:val="single"/>
            <w:lang w:eastAsia="en-US"/>
          </w:rPr>
          <w:t>https://maltacvs.org/wp-content/uploads/2025/12/FINAL-Strategy-book-EN-version-3-SQUARE-1.pdf</w:t>
        </w:r>
      </w:hyperlink>
      <w:r w:rsidRPr="002F67B6">
        <w:rPr>
          <w:rFonts w:eastAsiaTheme="minorHAnsi"/>
          <w:noProof/>
          <w:sz w:val="22"/>
          <w:szCs w:val="22"/>
          <w:lang w:eastAsia="en-US"/>
        </w:rPr>
        <w:t>.</w:t>
      </w:r>
    </w:p>
    <w:p w14:paraId="6758FEBD" w14:textId="2559E61E" w:rsidR="002F67B6" w:rsidRPr="002F67B6" w:rsidRDefault="002F67B6" w:rsidP="002F67B6">
      <w:pPr>
        <w:spacing w:after="120"/>
        <w:rPr>
          <w:noProof/>
          <w:sz w:val="22"/>
          <w:szCs w:val="22"/>
          <w:lang w:eastAsia="en-GB"/>
        </w:rPr>
      </w:pPr>
      <w:r w:rsidRPr="002F67B6">
        <w:rPr>
          <w:noProof/>
          <w:sz w:val="22"/>
          <w:szCs w:val="22"/>
          <w:lang w:eastAsia="en-GB"/>
        </w:rPr>
        <w:t xml:space="preserve">Moviment Graffitti (2026), </w:t>
      </w:r>
      <w:r w:rsidRPr="002F67B6">
        <w:rPr>
          <w:i/>
          <w:noProof/>
          <w:sz w:val="22"/>
          <w:szCs w:val="22"/>
          <w:lang w:eastAsia="en-GB"/>
        </w:rPr>
        <w:t>Ġustizzja għal Artna: organisations gather in front of Castille demanding genuine planning reform</w:t>
      </w:r>
      <w:r w:rsidRPr="002F67B6">
        <w:rPr>
          <w:noProof/>
          <w:sz w:val="22"/>
          <w:szCs w:val="22"/>
          <w:lang w:eastAsia="en-GB"/>
        </w:rPr>
        <w:t xml:space="preserve">, 12 April 2026, </w:t>
      </w:r>
      <w:hyperlink r:id="rId61" w:history="1">
        <w:r w:rsidRPr="002F67B6">
          <w:rPr>
            <w:noProof/>
            <w:color w:val="0563C1" w:themeColor="hyperlink"/>
            <w:sz w:val="22"/>
            <w:szCs w:val="22"/>
            <w:u w:val="single"/>
            <w:lang w:eastAsia="en-GB"/>
          </w:rPr>
          <w:t>https://movimentgraffitti.org/2026/04/ 12/gustizzja-ghal-artna-organisations-gather-in-front-of-castille-demanding-genuine-planning-reform/</w:t>
        </w:r>
      </w:hyperlink>
      <w:r w:rsidRPr="002F67B6">
        <w:rPr>
          <w:noProof/>
          <w:sz w:val="22"/>
          <w:szCs w:val="22"/>
          <w:lang w:eastAsia="en-GB"/>
        </w:rPr>
        <w:t>.</w:t>
      </w:r>
    </w:p>
    <w:p w14:paraId="5C3174BF" w14:textId="77777777" w:rsidR="002F67B6" w:rsidRPr="002F67B6" w:rsidRDefault="002F67B6" w:rsidP="002F67B6">
      <w:pPr>
        <w:spacing w:after="120"/>
        <w:rPr>
          <w:rFonts w:eastAsiaTheme="minorHAnsi"/>
          <w:noProof/>
          <w:sz w:val="22"/>
          <w:szCs w:val="22"/>
          <w:lang w:eastAsia="en-US"/>
        </w:rPr>
      </w:pPr>
      <w:r w:rsidRPr="002F67B6">
        <w:rPr>
          <w:rFonts w:eastAsiaTheme="minorHAnsi"/>
          <w:noProof/>
          <w:sz w:val="22"/>
          <w:szCs w:val="22"/>
          <w:lang w:eastAsia="en-US"/>
        </w:rPr>
        <w:t xml:space="preserve">OECD, </w:t>
      </w:r>
      <w:r w:rsidRPr="002F67B6">
        <w:rPr>
          <w:rFonts w:eastAsiaTheme="minorHAnsi"/>
          <w:i/>
          <w:noProof/>
          <w:sz w:val="22"/>
          <w:szCs w:val="22"/>
          <w:lang w:eastAsia="en-US"/>
        </w:rPr>
        <w:t>OECD Indicators of Regulatory Policy and Governance</w:t>
      </w:r>
      <w:r w:rsidRPr="002F67B6">
        <w:rPr>
          <w:rFonts w:eastAsiaTheme="minorHAnsi"/>
          <w:noProof/>
          <w:sz w:val="22"/>
          <w:szCs w:val="22"/>
          <w:lang w:eastAsia="en-US"/>
        </w:rPr>
        <w:t xml:space="preserve"> (iREG).</w:t>
      </w:r>
    </w:p>
    <w:p w14:paraId="7058A64A" w14:textId="1E631DF1" w:rsidR="002F67B6" w:rsidRPr="002F67B6" w:rsidRDefault="002F67B6" w:rsidP="002F67B6">
      <w:pPr>
        <w:spacing w:after="120"/>
        <w:rPr>
          <w:rFonts w:eastAsiaTheme="minorHAnsi"/>
          <w:noProof/>
          <w:sz w:val="22"/>
          <w:szCs w:val="22"/>
          <w:lang w:eastAsia="en-US"/>
        </w:rPr>
      </w:pPr>
      <w:r w:rsidRPr="002F67B6">
        <w:rPr>
          <w:rFonts w:eastAsiaTheme="minorHAnsi"/>
          <w:noProof/>
          <w:sz w:val="22"/>
          <w:szCs w:val="22"/>
          <w:lang w:eastAsia="en-US"/>
        </w:rPr>
        <w:t xml:space="preserve">OECD (2025), </w:t>
      </w:r>
      <w:r w:rsidRPr="002F67B6">
        <w:rPr>
          <w:rFonts w:eastAsiaTheme="minorHAnsi"/>
          <w:i/>
          <w:noProof/>
          <w:sz w:val="22"/>
          <w:szCs w:val="22"/>
          <w:lang w:eastAsia="en-US"/>
        </w:rPr>
        <w:t>Better Regulation Practices across the European Union 2025</w:t>
      </w:r>
      <w:r w:rsidRPr="002F67B6">
        <w:rPr>
          <w:rFonts w:eastAsiaTheme="minorHAnsi"/>
          <w:noProof/>
          <w:sz w:val="22"/>
          <w:szCs w:val="22"/>
          <w:lang w:eastAsia="en-US"/>
        </w:rPr>
        <w:t xml:space="preserve">, 29 September 2025, </w:t>
      </w:r>
      <w:hyperlink r:id="rId62" w:history="1">
        <w:r w:rsidRPr="002F67B6">
          <w:rPr>
            <w:rFonts w:eastAsiaTheme="minorHAnsi"/>
            <w:noProof/>
            <w:color w:val="0563C1" w:themeColor="hyperlink"/>
            <w:sz w:val="22"/>
            <w:szCs w:val="22"/>
            <w:u w:val="single"/>
            <w:lang w:eastAsia="en-US"/>
          </w:rPr>
          <w:t>https://doi.org/10.1787/6f007516-en</w:t>
        </w:r>
      </w:hyperlink>
      <w:r w:rsidRPr="002F67B6">
        <w:rPr>
          <w:rFonts w:eastAsiaTheme="minorHAnsi"/>
          <w:noProof/>
          <w:sz w:val="22"/>
          <w:szCs w:val="22"/>
          <w:lang w:eastAsia="en-US"/>
        </w:rPr>
        <w:t>.</w:t>
      </w:r>
    </w:p>
    <w:p w14:paraId="13F05C19" w14:textId="56F9E3BD" w:rsidR="002F67B6" w:rsidRPr="002F67B6" w:rsidRDefault="002F67B6" w:rsidP="002F67B6">
      <w:pPr>
        <w:rPr>
          <w:noProof/>
          <w:sz w:val="22"/>
          <w:szCs w:val="22"/>
          <w:lang w:eastAsia="fr-FR"/>
        </w:rPr>
      </w:pPr>
      <w:r w:rsidRPr="002F67B6">
        <w:rPr>
          <w:noProof/>
          <w:sz w:val="22"/>
          <w:szCs w:val="22"/>
          <w:lang w:val="en-US" w:eastAsia="fr-FR"/>
        </w:rPr>
        <w:t xml:space="preserve">OECD (2023), </w:t>
      </w:r>
      <w:r w:rsidRPr="002F67B6">
        <w:rPr>
          <w:i/>
          <w:noProof/>
          <w:sz w:val="22"/>
          <w:szCs w:val="22"/>
          <w:lang w:val="en-US" w:eastAsia="fr-FR"/>
        </w:rPr>
        <w:t>Public Integrity in Malta. Improving the Integrity and Transparency Framework for Elected and Appointed Officials</w:t>
      </w:r>
      <w:r w:rsidRPr="002F67B6">
        <w:rPr>
          <w:noProof/>
          <w:sz w:val="22"/>
          <w:szCs w:val="22"/>
          <w:lang w:val="en-US" w:eastAsia="fr-FR"/>
        </w:rPr>
        <w:t xml:space="preserve">, </w:t>
      </w:r>
      <w:hyperlink r:id="rId63" w:history="1">
        <w:r w:rsidR="0012270E" w:rsidRPr="00490626">
          <w:rPr>
            <w:rStyle w:val="Hyperlink"/>
            <w:noProof/>
            <w:sz w:val="22"/>
            <w:szCs w:val="22"/>
            <w:lang w:val="en-US" w:eastAsia="fr-FR"/>
          </w:rPr>
          <w:t>https://www.oecd.org/content/dam/oecd/en/publications/reports/ 2023/10/public-integrity-in-malta_009f6d5a/0ecc469e-en.pdf</w:t>
        </w:r>
      </w:hyperlink>
      <w:r w:rsidR="002F7B53">
        <w:rPr>
          <w:noProof/>
          <w:sz w:val="22"/>
          <w:szCs w:val="22"/>
          <w:lang w:val="en-US" w:eastAsia="fr-FR"/>
        </w:rPr>
        <w:t>.</w:t>
      </w:r>
      <w:r w:rsidR="0012270E">
        <w:rPr>
          <w:noProof/>
          <w:sz w:val="22"/>
          <w:szCs w:val="22"/>
          <w:lang w:val="en-US" w:eastAsia="fr-FR"/>
        </w:rPr>
        <w:t xml:space="preserve"> </w:t>
      </w:r>
    </w:p>
    <w:p w14:paraId="0709DE43" w14:textId="4D217FCB" w:rsidR="002F67B6" w:rsidRPr="002F67B6" w:rsidRDefault="002F67B6" w:rsidP="002F67B6">
      <w:pPr>
        <w:rPr>
          <w:noProof/>
          <w:sz w:val="22"/>
          <w:szCs w:val="22"/>
          <w:lang w:val="en-US" w:eastAsia="fr-FR"/>
        </w:rPr>
      </w:pPr>
      <w:r w:rsidRPr="002F67B6">
        <w:rPr>
          <w:noProof/>
          <w:sz w:val="22"/>
          <w:szCs w:val="22"/>
          <w:lang w:val="en-US" w:eastAsia="fr-FR"/>
        </w:rPr>
        <w:t xml:space="preserve">OECD (2022), </w:t>
      </w:r>
      <w:r w:rsidRPr="002F67B6">
        <w:rPr>
          <w:i/>
          <w:noProof/>
          <w:sz w:val="22"/>
          <w:szCs w:val="22"/>
          <w:lang w:val="en-US" w:eastAsia="fr-FR"/>
        </w:rPr>
        <w:t>Review of the Standards of Public Life in Malta, recommendations for strengthening the integrity framework for elected and appointed officials</w:t>
      </w:r>
      <w:r w:rsidRPr="002F67B6">
        <w:rPr>
          <w:noProof/>
          <w:sz w:val="22"/>
          <w:szCs w:val="22"/>
          <w:lang w:val="en-US" w:eastAsia="fr-FR"/>
        </w:rPr>
        <w:t xml:space="preserve">, </w:t>
      </w:r>
      <w:hyperlink r:id="rId64" w:history="1">
        <w:r w:rsidRPr="002F67B6">
          <w:rPr>
            <w:noProof/>
            <w:color w:val="0563C1" w:themeColor="hyperlink"/>
            <w:sz w:val="22"/>
            <w:szCs w:val="22"/>
            <w:u w:val="single"/>
            <w:lang w:val="en-US" w:eastAsia="fr-FR"/>
          </w:rPr>
          <w:t>https://one.oecd.org/document/GOV/PGC/INT(2022)9/FINAL/en/pdf</w:t>
        </w:r>
      </w:hyperlink>
      <w:r w:rsidRPr="002F67B6">
        <w:rPr>
          <w:noProof/>
          <w:sz w:val="22"/>
          <w:szCs w:val="22"/>
          <w:lang w:val="en-US" w:eastAsia="fr-FR"/>
        </w:rPr>
        <w:t>.</w:t>
      </w:r>
    </w:p>
    <w:p w14:paraId="20A06624" w14:textId="41324B31" w:rsidR="002F67B6" w:rsidRPr="002F67B6" w:rsidRDefault="002F67B6" w:rsidP="002F67B6">
      <w:pPr>
        <w:rPr>
          <w:noProof/>
          <w:sz w:val="22"/>
          <w:szCs w:val="22"/>
          <w:lang w:eastAsia="fr-FR"/>
        </w:rPr>
      </w:pPr>
      <w:r w:rsidRPr="002F67B6">
        <w:rPr>
          <w:noProof/>
          <w:sz w:val="22"/>
          <w:szCs w:val="22"/>
          <w:lang w:eastAsia="fr-FR"/>
        </w:rPr>
        <w:t xml:space="preserve">OSCE (2025), </w:t>
      </w:r>
      <w:r w:rsidRPr="002F67B6">
        <w:rPr>
          <w:i/>
          <w:noProof/>
          <w:sz w:val="22"/>
          <w:szCs w:val="22"/>
          <w:lang w:eastAsia="fr-FR"/>
        </w:rPr>
        <w:t>The Situation of Human Rights Defenders in Malta: Good Practices and Protection Gaps</w:t>
      </w:r>
      <w:r w:rsidRPr="002F67B6">
        <w:rPr>
          <w:noProof/>
          <w:sz w:val="22"/>
          <w:szCs w:val="22"/>
          <w:lang w:eastAsia="fr-FR"/>
        </w:rPr>
        <w:t xml:space="preserve">. </w:t>
      </w:r>
      <w:hyperlink r:id="rId65" w:history="1">
        <w:r w:rsidRPr="002F67B6">
          <w:rPr>
            <w:noProof/>
            <w:color w:val="0563C1" w:themeColor="hyperlink"/>
            <w:sz w:val="22"/>
            <w:szCs w:val="22"/>
            <w:u w:val="single"/>
            <w:lang w:eastAsia="fr-FR"/>
          </w:rPr>
          <w:t>https://odihr.osce.org/odihr/596929</w:t>
        </w:r>
      </w:hyperlink>
      <w:r w:rsidR="002F7B53">
        <w:rPr>
          <w:noProof/>
          <w:sz w:val="22"/>
          <w:szCs w:val="22"/>
          <w:lang w:eastAsia="fr-FR"/>
        </w:rPr>
        <w:t>.</w:t>
      </w:r>
    </w:p>
    <w:p w14:paraId="447B3697" w14:textId="42099102" w:rsidR="002F67B6" w:rsidRPr="002F67B6" w:rsidRDefault="002F67B6" w:rsidP="002F67B6">
      <w:pPr>
        <w:rPr>
          <w:noProof/>
          <w:sz w:val="22"/>
          <w:szCs w:val="22"/>
          <w:lang w:eastAsia="fr-FR"/>
        </w:rPr>
      </w:pPr>
      <w:r w:rsidRPr="002F67B6">
        <w:rPr>
          <w:noProof/>
          <w:sz w:val="22"/>
          <w:szCs w:val="22"/>
          <w:lang w:eastAsia="fr-FR"/>
        </w:rPr>
        <w:t xml:space="preserve">OSCE (2022), </w:t>
      </w:r>
      <w:r w:rsidRPr="002F67B6">
        <w:rPr>
          <w:i/>
          <w:noProof/>
          <w:sz w:val="22"/>
          <w:szCs w:val="22"/>
          <w:lang w:eastAsia="fr-FR"/>
        </w:rPr>
        <w:t>Republic of Malta, Early Parliamentary Elections – ODIHR Election Expert Team. Final report</w:t>
      </w:r>
      <w:r w:rsidRPr="002F67B6">
        <w:rPr>
          <w:noProof/>
          <w:sz w:val="22"/>
          <w:szCs w:val="22"/>
          <w:lang w:eastAsia="fr-FR"/>
        </w:rPr>
        <w:t xml:space="preserve">. </w:t>
      </w:r>
      <w:hyperlink r:id="rId66" w:history="1">
        <w:r w:rsidRPr="002F67B6">
          <w:rPr>
            <w:noProof/>
            <w:color w:val="0563C1" w:themeColor="hyperlink"/>
            <w:sz w:val="22"/>
            <w:szCs w:val="22"/>
            <w:u w:val="single"/>
            <w:lang w:eastAsia="fr-FR"/>
          </w:rPr>
          <w:t>https://odihr.osce.org/sites/default/files/f/documents/8/7/522712.pdf</w:t>
        </w:r>
      </w:hyperlink>
      <w:r w:rsidR="002F7B53">
        <w:rPr>
          <w:noProof/>
          <w:sz w:val="22"/>
          <w:szCs w:val="22"/>
          <w:lang w:eastAsia="fr-FR"/>
        </w:rPr>
        <w:t>.</w:t>
      </w:r>
    </w:p>
    <w:p w14:paraId="45EA0B95" w14:textId="755DAA00" w:rsidR="002F67B6" w:rsidRPr="002F67B6" w:rsidRDefault="002F67B6" w:rsidP="002F67B6">
      <w:pPr>
        <w:spacing w:after="120"/>
        <w:rPr>
          <w:rFonts w:eastAsiaTheme="minorHAnsi"/>
          <w:noProof/>
          <w:sz w:val="22"/>
          <w:szCs w:val="22"/>
          <w:lang w:val="en-IE" w:eastAsia="en-US"/>
        </w:rPr>
      </w:pPr>
      <w:r w:rsidRPr="002F67B6">
        <w:rPr>
          <w:rFonts w:eastAsiaTheme="minorHAnsi"/>
          <w:noProof/>
          <w:sz w:val="22"/>
          <w:szCs w:val="22"/>
          <w:lang w:eastAsia="en-US"/>
        </w:rPr>
        <w:t xml:space="preserve">OSCE/ODIHR (2025), </w:t>
      </w:r>
      <w:r w:rsidRPr="002F67B6">
        <w:rPr>
          <w:rFonts w:eastAsiaTheme="minorHAnsi"/>
          <w:i/>
          <w:noProof/>
          <w:sz w:val="22"/>
          <w:szCs w:val="22"/>
          <w:lang w:eastAsia="en-US"/>
        </w:rPr>
        <w:t xml:space="preserve">The Situation of Human Rights Defenders in Malta: Assessment Report, </w:t>
      </w:r>
      <w:hyperlink r:id="rId67" w:history="1">
        <w:r w:rsidRPr="002F67B6">
          <w:rPr>
            <w:rFonts w:eastAsiaTheme="minorHAnsi"/>
            <w:noProof/>
            <w:color w:val="0563C1" w:themeColor="hyperlink"/>
            <w:sz w:val="22"/>
            <w:szCs w:val="22"/>
            <w:u w:val="single"/>
            <w:lang w:eastAsia="en-US"/>
          </w:rPr>
          <w:t>https://odihr.osce.org/sites/default/files/f/documents/1/b/596929.pdf</w:t>
        </w:r>
      </w:hyperlink>
      <w:r w:rsidRPr="002F67B6">
        <w:rPr>
          <w:rFonts w:eastAsiaTheme="minorHAnsi"/>
          <w:noProof/>
          <w:sz w:val="22"/>
          <w:szCs w:val="22"/>
          <w:lang w:eastAsia="en-US"/>
        </w:rPr>
        <w:t>.</w:t>
      </w:r>
    </w:p>
    <w:p w14:paraId="3ECB2CF8" w14:textId="5DA0B48C" w:rsidR="002F67B6" w:rsidRPr="002F67B6" w:rsidRDefault="002F67B6" w:rsidP="002F67B6">
      <w:pPr>
        <w:spacing w:after="120"/>
        <w:rPr>
          <w:rFonts w:eastAsiaTheme="minorHAnsi"/>
          <w:noProof/>
          <w:sz w:val="22"/>
          <w:szCs w:val="22"/>
          <w:lang w:eastAsia="en-US"/>
        </w:rPr>
      </w:pPr>
      <w:r w:rsidRPr="002F67B6">
        <w:rPr>
          <w:rFonts w:eastAsiaTheme="minorHAnsi"/>
          <w:noProof/>
          <w:sz w:val="22"/>
          <w:szCs w:val="22"/>
          <w:lang w:eastAsia="en-US"/>
        </w:rPr>
        <w:t>Parliament of Malta (2026)</w:t>
      </w:r>
      <w:r w:rsidRPr="002F67B6">
        <w:rPr>
          <w:rFonts w:eastAsiaTheme="minorHAnsi"/>
          <w:noProof/>
          <w:sz w:val="22"/>
          <w:szCs w:val="22"/>
          <w:lang w:val="en-US" w:eastAsia="en-US"/>
        </w:rPr>
        <w:t xml:space="preserve">, </w:t>
      </w:r>
      <w:r w:rsidRPr="002F67B6">
        <w:rPr>
          <w:rFonts w:eastAsiaTheme="minorHAnsi"/>
          <w:i/>
          <w:noProof/>
          <w:sz w:val="22"/>
          <w:szCs w:val="22"/>
          <w:lang w:val="en-IE" w:eastAsia="en-US"/>
        </w:rPr>
        <w:t xml:space="preserve">Acts of Parliament Fourteenth Legislature (2022 - 2026), </w:t>
      </w:r>
      <w:hyperlink r:id="rId68" w:history="1">
        <w:r w:rsidRPr="002F67B6">
          <w:rPr>
            <w:rFonts w:eastAsiaTheme="minorHAnsi"/>
            <w:noProof/>
            <w:color w:val="0563C1" w:themeColor="hyperlink"/>
            <w:sz w:val="22"/>
            <w:szCs w:val="22"/>
            <w:u w:val="single"/>
            <w:lang w:val="en-IE" w:eastAsia="en-US"/>
          </w:rPr>
          <w:t>https://parlament.mt/en/14th-leg/acts/</w:t>
        </w:r>
      </w:hyperlink>
      <w:r w:rsidR="002F7B53">
        <w:rPr>
          <w:rFonts w:eastAsiaTheme="minorHAnsi"/>
          <w:noProof/>
          <w:sz w:val="22"/>
          <w:szCs w:val="22"/>
          <w:lang w:val="en-IE" w:eastAsia="en-US"/>
        </w:rPr>
        <w:t>.</w:t>
      </w:r>
    </w:p>
    <w:p w14:paraId="1388F7C5" w14:textId="3B7F7CAD" w:rsidR="002F67B6" w:rsidRPr="002F67B6" w:rsidRDefault="002F67B6" w:rsidP="002F67B6">
      <w:pPr>
        <w:spacing w:after="120"/>
        <w:rPr>
          <w:rFonts w:eastAsiaTheme="minorHAnsi"/>
          <w:noProof/>
          <w:sz w:val="22"/>
          <w:szCs w:val="22"/>
          <w:lang w:eastAsia="en-US"/>
        </w:rPr>
      </w:pPr>
      <w:r w:rsidRPr="002F67B6">
        <w:rPr>
          <w:rFonts w:eastAsiaTheme="minorHAnsi"/>
          <w:noProof/>
          <w:sz w:val="22"/>
          <w:szCs w:val="22"/>
          <w:lang w:val="en-US" w:eastAsia="en-US" w:bidi="bg-BG"/>
        </w:rPr>
        <w:t>President of the Republic (2025)</w:t>
      </w:r>
      <w:r w:rsidRPr="002F67B6">
        <w:rPr>
          <w:rFonts w:eastAsiaTheme="minorHAnsi"/>
          <w:noProof/>
          <w:sz w:val="22"/>
          <w:szCs w:val="22"/>
          <w:lang w:val="en-US" w:eastAsia="en-US"/>
        </w:rPr>
        <w:t xml:space="preserve">, </w:t>
      </w:r>
      <w:r w:rsidRPr="002F67B6">
        <w:rPr>
          <w:rFonts w:eastAsiaTheme="minorHAnsi"/>
          <w:i/>
          <w:noProof/>
          <w:sz w:val="22"/>
          <w:szCs w:val="22"/>
          <w:lang w:val="en-US" w:eastAsia="en-US"/>
        </w:rPr>
        <w:t>Retired Judge Anthony Abela took the oath of office as Malta’s first Commissioner for Judicial Standards</w:t>
      </w:r>
      <w:r w:rsidRPr="002F67B6">
        <w:rPr>
          <w:rFonts w:eastAsiaTheme="minorHAnsi"/>
          <w:noProof/>
          <w:sz w:val="22"/>
          <w:szCs w:val="22"/>
          <w:lang w:val="en-US" w:eastAsia="en-US"/>
        </w:rPr>
        <w:t xml:space="preserve">, </w:t>
      </w:r>
      <w:hyperlink r:id="rId69" w:history="1">
        <w:r w:rsidRPr="002F67B6">
          <w:rPr>
            <w:rFonts w:eastAsiaTheme="minorHAnsi"/>
            <w:noProof/>
            <w:color w:val="0563C1" w:themeColor="hyperlink"/>
            <w:sz w:val="22"/>
            <w:szCs w:val="22"/>
            <w:u w:val="single"/>
            <w:lang w:val="en-US" w:eastAsia="en-US"/>
          </w:rPr>
          <w:t>https://president.gov.mt/media/retired-judge-anthony-abela-takes-the-oath-of-office-as-maltas-first-commissioner-for-judicial-standards/</w:t>
        </w:r>
      </w:hyperlink>
      <w:r w:rsidRPr="002F67B6">
        <w:rPr>
          <w:rFonts w:eastAsiaTheme="minorHAnsi"/>
          <w:noProof/>
          <w:sz w:val="22"/>
          <w:szCs w:val="22"/>
          <w:lang w:eastAsia="en-US"/>
        </w:rPr>
        <w:t>.</w:t>
      </w:r>
    </w:p>
    <w:p w14:paraId="0895F399" w14:textId="5921F946" w:rsidR="002F67B6" w:rsidRPr="002F67B6" w:rsidRDefault="002F67B6" w:rsidP="002F67B6">
      <w:pPr>
        <w:spacing w:after="120"/>
        <w:rPr>
          <w:i/>
          <w:noProof/>
          <w:sz w:val="22"/>
          <w:szCs w:val="22"/>
          <w:lang w:eastAsia="en-GB"/>
        </w:rPr>
      </w:pPr>
      <w:r w:rsidRPr="002F67B6">
        <w:rPr>
          <w:noProof/>
          <w:sz w:val="22"/>
          <w:szCs w:val="22"/>
          <w:lang w:eastAsia="en-GB"/>
        </w:rPr>
        <w:t>Repubblika (2026),</w:t>
      </w:r>
      <w:r w:rsidRPr="002F67B6">
        <w:rPr>
          <w:i/>
          <w:noProof/>
          <w:sz w:val="22"/>
          <w:szCs w:val="22"/>
          <w:lang w:eastAsia="en-GB"/>
        </w:rPr>
        <w:t xml:space="preserve"> Written input for the 2026 Rule of Law Report</w:t>
      </w:r>
      <w:r w:rsidR="00377627">
        <w:rPr>
          <w:i/>
          <w:noProof/>
          <w:sz w:val="22"/>
          <w:szCs w:val="22"/>
          <w:lang w:eastAsia="en-GB"/>
        </w:rPr>
        <w:t>.</w:t>
      </w:r>
    </w:p>
    <w:p w14:paraId="7BAEDC71" w14:textId="4C5A5DC2" w:rsidR="002F67B6" w:rsidRPr="002F67B6" w:rsidRDefault="002F67B6" w:rsidP="002F67B6">
      <w:pPr>
        <w:rPr>
          <w:noProof/>
          <w:sz w:val="22"/>
          <w:szCs w:val="22"/>
          <w:lang w:eastAsia="fr-FR"/>
        </w:rPr>
      </w:pPr>
      <w:r w:rsidRPr="002F67B6">
        <w:rPr>
          <w:noProof/>
          <w:sz w:val="22"/>
          <w:szCs w:val="22"/>
          <w:lang w:eastAsia="fr-FR"/>
        </w:rPr>
        <w:t xml:space="preserve">Repubblika (2026a), </w:t>
      </w:r>
      <w:r w:rsidRPr="002F67B6">
        <w:rPr>
          <w:i/>
          <w:noProof/>
          <w:sz w:val="22"/>
          <w:szCs w:val="22"/>
          <w:lang w:eastAsia="fr-FR"/>
        </w:rPr>
        <w:t>Ethics reform misses the real problem – government must open public consultation</w:t>
      </w:r>
      <w:r w:rsidRPr="002F67B6">
        <w:rPr>
          <w:noProof/>
          <w:sz w:val="22"/>
          <w:szCs w:val="22"/>
          <w:lang w:eastAsia="fr-FR"/>
        </w:rPr>
        <w:t xml:space="preserve">, 17 March 2026 </w:t>
      </w:r>
      <w:hyperlink r:id="rId70" w:history="1">
        <w:r w:rsidRPr="002F67B6">
          <w:rPr>
            <w:noProof/>
            <w:color w:val="0563C1" w:themeColor="hyperlink"/>
            <w:sz w:val="22"/>
            <w:szCs w:val="22"/>
            <w:u w:val="single"/>
            <w:lang w:eastAsia="fr-FR"/>
          </w:rPr>
          <w:t>https://repubblika.org/press-release/ethics-reform-misses-the-real-problem-government-must-open-public-consultation/</w:t>
        </w:r>
      </w:hyperlink>
      <w:r w:rsidR="00377627">
        <w:rPr>
          <w:noProof/>
          <w:sz w:val="22"/>
          <w:szCs w:val="22"/>
          <w:lang w:eastAsia="fr-FR"/>
        </w:rPr>
        <w:t>.</w:t>
      </w:r>
    </w:p>
    <w:p w14:paraId="7E4BCD2A" w14:textId="17B55C5B" w:rsidR="002F67B6" w:rsidRPr="002F67B6" w:rsidRDefault="002F67B6" w:rsidP="002F67B6">
      <w:pPr>
        <w:spacing w:after="120"/>
        <w:rPr>
          <w:rFonts w:eastAsiaTheme="minorHAnsi"/>
          <w:noProof/>
          <w:sz w:val="22"/>
          <w:szCs w:val="22"/>
          <w:lang w:eastAsia="en-US"/>
        </w:rPr>
      </w:pPr>
      <w:r w:rsidRPr="002F67B6">
        <w:rPr>
          <w:rFonts w:eastAsiaTheme="minorHAnsi"/>
          <w:noProof/>
          <w:sz w:val="22"/>
          <w:szCs w:val="22"/>
          <w:lang w:val="en-US" w:eastAsia="en-US"/>
        </w:rPr>
        <w:t>Repubblika (2026</w:t>
      </w:r>
      <w:r w:rsidRPr="002F67B6">
        <w:rPr>
          <w:rFonts w:eastAsiaTheme="minorHAnsi"/>
          <w:noProof/>
          <w:sz w:val="22"/>
          <w:szCs w:val="22"/>
          <w:lang w:eastAsia="en-US"/>
        </w:rPr>
        <w:t>b</w:t>
      </w:r>
      <w:r w:rsidRPr="002F67B6">
        <w:rPr>
          <w:rFonts w:eastAsiaTheme="minorHAnsi"/>
          <w:noProof/>
          <w:sz w:val="22"/>
          <w:szCs w:val="22"/>
          <w:lang w:val="en-US" w:eastAsia="en-US"/>
        </w:rPr>
        <w:t>)</w:t>
      </w:r>
      <w:r w:rsidRPr="002F67B6">
        <w:rPr>
          <w:rFonts w:eastAsiaTheme="minorHAnsi"/>
          <w:noProof/>
          <w:sz w:val="22"/>
          <w:szCs w:val="22"/>
          <w:lang w:eastAsia="en-US"/>
        </w:rPr>
        <w:t xml:space="preserve">, </w:t>
      </w:r>
      <w:r w:rsidRPr="002F67B6">
        <w:rPr>
          <w:rFonts w:eastAsiaTheme="minorHAnsi"/>
          <w:i/>
          <w:noProof/>
          <w:sz w:val="22"/>
          <w:szCs w:val="22"/>
          <w:lang w:eastAsia="en-US"/>
        </w:rPr>
        <w:t>The Appointment of the Chief Justice Cannot Continue to Depend on Political Calculations,</w:t>
      </w:r>
      <w:r w:rsidRPr="002F67B6">
        <w:rPr>
          <w:rFonts w:eastAsiaTheme="minorHAnsi"/>
          <w:noProof/>
          <w:sz w:val="22"/>
          <w:szCs w:val="22"/>
          <w:lang w:eastAsia="en-US"/>
        </w:rPr>
        <w:t xml:space="preserve"> 24 February 2026, </w:t>
      </w:r>
      <w:hyperlink r:id="rId71" w:history="1">
        <w:r w:rsidRPr="002F67B6">
          <w:rPr>
            <w:rFonts w:eastAsiaTheme="minorHAnsi"/>
            <w:noProof/>
            <w:color w:val="0563C1" w:themeColor="hyperlink"/>
            <w:sz w:val="22"/>
            <w:szCs w:val="22"/>
            <w:u w:val="single"/>
            <w:lang w:val="en-US" w:eastAsia="en-US"/>
          </w:rPr>
          <w:t>https://repubblika.org/press-release/the-appointment-of-the-chief-justice-cannot-continue-to-depend-on-political-calculations/</w:t>
        </w:r>
      </w:hyperlink>
      <w:r w:rsidRPr="002F67B6">
        <w:rPr>
          <w:rFonts w:eastAsiaTheme="minorHAnsi"/>
          <w:noProof/>
          <w:sz w:val="22"/>
          <w:szCs w:val="22"/>
          <w:lang w:eastAsia="en-US"/>
        </w:rPr>
        <w:t>.</w:t>
      </w:r>
    </w:p>
    <w:p w14:paraId="3D0AB6AC" w14:textId="0EFA1AC8" w:rsidR="002F67B6" w:rsidRPr="002F67B6" w:rsidRDefault="002F67B6" w:rsidP="002F67B6">
      <w:pPr>
        <w:spacing w:after="120"/>
        <w:rPr>
          <w:rFonts w:eastAsiaTheme="minorHAnsi"/>
          <w:noProof/>
          <w:sz w:val="22"/>
          <w:szCs w:val="22"/>
          <w:lang w:eastAsia="en-US"/>
        </w:rPr>
      </w:pPr>
      <w:r w:rsidRPr="002F67B6">
        <w:rPr>
          <w:rFonts w:eastAsiaTheme="minorHAnsi"/>
          <w:noProof/>
          <w:sz w:val="22"/>
          <w:szCs w:val="22"/>
          <w:lang w:val="en-US" w:eastAsia="en-US"/>
        </w:rPr>
        <w:t>Repubblika (2026</w:t>
      </w:r>
      <w:r w:rsidRPr="002F67B6">
        <w:rPr>
          <w:rFonts w:eastAsiaTheme="minorHAnsi"/>
          <w:noProof/>
          <w:sz w:val="22"/>
          <w:szCs w:val="22"/>
          <w:lang w:eastAsia="en-US"/>
        </w:rPr>
        <w:t>c</w:t>
      </w:r>
      <w:r w:rsidRPr="002F67B6">
        <w:rPr>
          <w:rFonts w:eastAsiaTheme="minorHAnsi"/>
          <w:noProof/>
          <w:sz w:val="22"/>
          <w:szCs w:val="22"/>
          <w:lang w:val="en-US" w:eastAsia="en-US"/>
        </w:rPr>
        <w:t>)</w:t>
      </w:r>
      <w:r w:rsidRPr="002F67B6">
        <w:rPr>
          <w:rFonts w:eastAsiaTheme="minorHAnsi"/>
          <w:noProof/>
          <w:sz w:val="22"/>
          <w:szCs w:val="22"/>
          <w:lang w:eastAsia="en-US"/>
        </w:rPr>
        <w:t xml:space="preserve">, </w:t>
      </w:r>
      <w:r w:rsidRPr="002F67B6">
        <w:rPr>
          <w:rFonts w:eastAsiaTheme="minorHAnsi"/>
          <w:noProof/>
          <w:sz w:val="22"/>
          <w:szCs w:val="22"/>
          <w:lang w:val="en-US" w:eastAsia="en-US"/>
        </w:rPr>
        <w:t>Judicial involvement in the appointment of the Chief Justice, 3 February 2026</w:t>
      </w:r>
      <w:r w:rsidRPr="002F67B6">
        <w:rPr>
          <w:rFonts w:eastAsiaTheme="minorHAnsi"/>
          <w:noProof/>
          <w:sz w:val="22"/>
          <w:szCs w:val="22"/>
          <w:lang w:eastAsia="en-US"/>
        </w:rPr>
        <w:t xml:space="preserve">, </w:t>
      </w:r>
      <w:hyperlink r:id="rId72" w:history="1">
        <w:r w:rsidRPr="002F67B6">
          <w:rPr>
            <w:rFonts w:eastAsiaTheme="minorHAnsi"/>
            <w:noProof/>
            <w:color w:val="0563C1" w:themeColor="hyperlink"/>
            <w:sz w:val="22"/>
            <w:szCs w:val="22"/>
            <w:u w:val="single"/>
            <w:lang w:eastAsia="en-US"/>
          </w:rPr>
          <w:t>https://repubblika.org/press-release/judicial-involvement-in-the-appointment-of-the-chief-justice/</w:t>
        </w:r>
      </w:hyperlink>
      <w:r w:rsidR="00377627">
        <w:rPr>
          <w:rFonts w:eastAsiaTheme="minorHAnsi"/>
          <w:noProof/>
          <w:sz w:val="22"/>
          <w:szCs w:val="22"/>
          <w:lang w:eastAsia="en-US"/>
        </w:rPr>
        <w:t>.</w:t>
      </w:r>
    </w:p>
    <w:p w14:paraId="5F0ECC69" w14:textId="3CC26D75" w:rsidR="002F67B6" w:rsidRPr="002F67B6" w:rsidRDefault="002F67B6" w:rsidP="002F67B6">
      <w:pPr>
        <w:rPr>
          <w:noProof/>
          <w:sz w:val="22"/>
          <w:szCs w:val="22"/>
          <w:lang w:eastAsia="fr-FR"/>
        </w:rPr>
      </w:pPr>
      <w:r w:rsidRPr="002F67B6">
        <w:rPr>
          <w:noProof/>
          <w:sz w:val="22"/>
          <w:szCs w:val="22"/>
          <w:lang w:eastAsia="fr-FR"/>
        </w:rPr>
        <w:t xml:space="preserve">Repubblika (2025), </w:t>
      </w:r>
      <w:r w:rsidRPr="002F67B6">
        <w:rPr>
          <w:i/>
          <w:noProof/>
          <w:sz w:val="22"/>
          <w:szCs w:val="22"/>
          <w:lang w:eastAsia="fr-FR"/>
        </w:rPr>
        <w:t>We Urgently Need Party Funding Reform</w:t>
      </w:r>
      <w:r w:rsidRPr="002F67B6">
        <w:rPr>
          <w:noProof/>
          <w:sz w:val="22"/>
          <w:szCs w:val="22"/>
          <w:lang w:eastAsia="fr-FR"/>
        </w:rPr>
        <w:t xml:space="preserve">, 16 December 2025 </w:t>
      </w:r>
      <w:hyperlink r:id="rId73" w:history="1">
        <w:r w:rsidRPr="002F67B6">
          <w:rPr>
            <w:noProof/>
            <w:color w:val="0563C1" w:themeColor="hyperlink"/>
            <w:sz w:val="22"/>
            <w:szCs w:val="22"/>
            <w:u w:val="single"/>
            <w:lang w:eastAsia="fr-FR"/>
          </w:rPr>
          <w:t>https://repubblika.org/press-release/we-urgently-need-party-funding-reform/</w:t>
        </w:r>
      </w:hyperlink>
      <w:r w:rsidR="00377627">
        <w:rPr>
          <w:noProof/>
          <w:sz w:val="22"/>
          <w:szCs w:val="22"/>
          <w:lang w:eastAsia="fr-FR"/>
        </w:rPr>
        <w:t>.</w:t>
      </w:r>
    </w:p>
    <w:p w14:paraId="39CD7ABE" w14:textId="2C91176F" w:rsidR="002C24A1" w:rsidRPr="00AE3CFC" w:rsidRDefault="002C24A1" w:rsidP="002F67B6">
      <w:pPr>
        <w:spacing w:after="120"/>
        <w:rPr>
          <w:noProof/>
          <w:sz w:val="22"/>
          <w:szCs w:val="22"/>
          <w:lang w:eastAsia="en-GB"/>
        </w:rPr>
      </w:pPr>
      <w:r w:rsidRPr="00AE3CFC">
        <w:rPr>
          <w:noProof/>
          <w:sz w:val="22"/>
          <w:szCs w:val="22"/>
          <w:lang w:eastAsia="en-GB"/>
        </w:rPr>
        <w:t xml:space="preserve">Venice Commission (2026), </w:t>
      </w:r>
      <w:r w:rsidR="00AE3CFC" w:rsidRPr="00352C6F">
        <w:rPr>
          <w:noProof/>
          <w:sz w:val="22"/>
          <w:szCs w:val="22"/>
          <w:lang w:eastAsia="en-GB"/>
        </w:rPr>
        <w:t xml:space="preserve">Malta - Administrative Justice Act (Consolidated version), CDL-REF(2026)026-e, </w:t>
      </w:r>
      <w:hyperlink r:id="rId74" w:history="1">
        <w:r w:rsidR="00AE3CFC" w:rsidRPr="00352C6F">
          <w:rPr>
            <w:rStyle w:val="Hyperlink"/>
            <w:noProof/>
            <w:sz w:val="22"/>
            <w:szCs w:val="22"/>
            <w:lang w:eastAsia="en-GB"/>
          </w:rPr>
          <w:t>https://www.coe.int/en/web/venice-commission/-/cdl-ref-2026-026-e</w:t>
        </w:r>
      </w:hyperlink>
    </w:p>
    <w:p w14:paraId="55C4AF83" w14:textId="361E0C5F" w:rsidR="002F67B6" w:rsidRPr="002F67B6" w:rsidRDefault="002F67B6" w:rsidP="002F67B6">
      <w:pPr>
        <w:spacing w:after="120"/>
        <w:rPr>
          <w:rFonts w:eastAsiaTheme="minorHAnsi"/>
          <w:noProof/>
          <w:sz w:val="22"/>
          <w:szCs w:val="22"/>
          <w:lang w:val="en-IE" w:eastAsia="en-US"/>
        </w:rPr>
      </w:pPr>
      <w:r w:rsidRPr="002F67B6">
        <w:rPr>
          <w:noProof/>
          <w:sz w:val="22"/>
          <w:szCs w:val="22"/>
          <w:lang w:eastAsia="en-GB"/>
        </w:rPr>
        <w:t xml:space="preserve">Venice Commission (2020a), </w:t>
      </w:r>
      <w:r w:rsidRPr="002F67B6">
        <w:rPr>
          <w:rFonts w:eastAsiaTheme="minorHAnsi"/>
          <w:noProof/>
          <w:sz w:val="22"/>
          <w:szCs w:val="22"/>
          <w:lang w:val="en-IE" w:eastAsia="en-US"/>
        </w:rPr>
        <w:t>Malta - Opinion on ten Acts and bills implementing legislative proposals subject of Opinion CDL-AD(2020)006,</w:t>
      </w:r>
      <w:r w:rsidRPr="002F67B6">
        <w:rPr>
          <w:rFonts w:eastAsiaTheme="minorHAnsi"/>
          <w:noProof/>
          <w:sz w:val="22"/>
          <w:szCs w:val="22"/>
          <w:lang w:val="en-US" w:eastAsia="en-US"/>
        </w:rPr>
        <w:t xml:space="preserve"> </w:t>
      </w:r>
      <w:hyperlink r:id="rId75" w:history="1">
        <w:r w:rsidRPr="002F67B6">
          <w:rPr>
            <w:rFonts w:eastAsiaTheme="minorHAnsi"/>
            <w:noProof/>
            <w:color w:val="0563C1" w:themeColor="hyperlink"/>
            <w:sz w:val="22"/>
            <w:szCs w:val="22"/>
            <w:u w:val="single"/>
            <w:lang w:val="en-IE" w:eastAsia="en-US"/>
          </w:rPr>
          <w:t>https://www.venice.coe.int/webforms/ documents/?pdf=CDL-AD(2020)019-e</w:t>
        </w:r>
      </w:hyperlink>
      <w:r w:rsidR="00377627">
        <w:rPr>
          <w:noProof/>
        </w:rPr>
        <w:t>.</w:t>
      </w:r>
    </w:p>
    <w:p w14:paraId="758E067C" w14:textId="2BDB3E76" w:rsidR="002F67B6" w:rsidRPr="002F67B6" w:rsidRDefault="002F67B6" w:rsidP="002F67B6">
      <w:pPr>
        <w:spacing w:after="120"/>
        <w:rPr>
          <w:rFonts w:eastAsiaTheme="minorHAnsi"/>
          <w:noProof/>
          <w:sz w:val="22"/>
          <w:szCs w:val="22"/>
          <w:lang w:eastAsia="en-US"/>
        </w:rPr>
      </w:pPr>
      <w:r w:rsidRPr="002F67B6">
        <w:rPr>
          <w:noProof/>
          <w:sz w:val="22"/>
          <w:szCs w:val="22"/>
          <w:lang w:eastAsia="en-GB"/>
        </w:rPr>
        <w:t xml:space="preserve">Venice Commission (2020b), </w:t>
      </w:r>
      <w:r w:rsidRPr="002F67B6">
        <w:rPr>
          <w:i/>
          <w:noProof/>
          <w:sz w:val="22"/>
          <w:szCs w:val="22"/>
          <w:lang w:eastAsia="en-GB"/>
        </w:rPr>
        <w:t xml:space="preserve">Malta - </w:t>
      </w:r>
      <w:r w:rsidRPr="002F67B6">
        <w:rPr>
          <w:rFonts w:eastAsiaTheme="minorHAnsi"/>
          <w:i/>
          <w:noProof/>
          <w:sz w:val="22"/>
          <w:szCs w:val="22"/>
          <w:lang w:val="en-IE" w:eastAsia="en-US"/>
        </w:rPr>
        <w:t xml:space="preserve">Opinion on proposed legislative changes, </w:t>
      </w:r>
      <w:hyperlink r:id="rId76" w:history="1">
        <w:r w:rsidRPr="002F67B6">
          <w:rPr>
            <w:rFonts w:eastAsiaTheme="minorHAnsi"/>
            <w:noProof/>
            <w:color w:val="0563C1" w:themeColor="hyperlink"/>
            <w:sz w:val="22"/>
            <w:szCs w:val="22"/>
            <w:u w:val="single"/>
            <w:lang w:eastAsia="en-US"/>
          </w:rPr>
          <w:t>https://www.venice.coe.int/webforms/documents/?pdf=CDL-AD(2020)006-e</w:t>
        </w:r>
      </w:hyperlink>
      <w:r w:rsidR="00377627">
        <w:rPr>
          <w:rFonts w:eastAsiaTheme="minorHAnsi"/>
          <w:noProof/>
          <w:sz w:val="22"/>
          <w:szCs w:val="22"/>
          <w:lang w:eastAsia="en-US"/>
        </w:rPr>
        <w:t>.</w:t>
      </w:r>
    </w:p>
    <w:p w14:paraId="649BB157" w14:textId="5EFCB533" w:rsidR="002F67B6" w:rsidRPr="002F67B6" w:rsidRDefault="002F67B6" w:rsidP="002F67B6">
      <w:pPr>
        <w:spacing w:after="120"/>
        <w:rPr>
          <w:noProof/>
          <w:sz w:val="22"/>
          <w:szCs w:val="22"/>
          <w:lang w:eastAsia="en-GB"/>
        </w:rPr>
      </w:pPr>
      <w:r w:rsidRPr="002F67B6">
        <w:rPr>
          <w:noProof/>
          <w:sz w:val="22"/>
          <w:szCs w:val="22"/>
          <w:lang w:eastAsia="en-GB"/>
        </w:rPr>
        <w:t xml:space="preserve">Venice Commission (2018), </w:t>
      </w:r>
      <w:r w:rsidRPr="002F67B6">
        <w:rPr>
          <w:i/>
          <w:noProof/>
          <w:sz w:val="22"/>
          <w:szCs w:val="22"/>
          <w:lang w:eastAsia="en-GB"/>
        </w:rPr>
        <w:t>Malta - Opinion on Constitutional arrangements and separation of powers and the independence of the judiciary and law enforcement</w:t>
      </w:r>
      <w:r w:rsidRPr="002F67B6">
        <w:rPr>
          <w:noProof/>
          <w:sz w:val="22"/>
          <w:szCs w:val="22"/>
          <w:lang w:eastAsia="en-GB"/>
        </w:rPr>
        <w:t xml:space="preserve">, </w:t>
      </w:r>
      <w:hyperlink r:id="rId77" w:history="1">
        <w:r w:rsidRPr="002F67B6">
          <w:rPr>
            <w:noProof/>
            <w:color w:val="0563C1" w:themeColor="hyperlink"/>
            <w:sz w:val="22"/>
            <w:szCs w:val="22"/>
            <w:u w:val="single"/>
            <w:lang w:eastAsia="en-GB"/>
          </w:rPr>
          <w:t>https://www.venice.coe.int/webforms/documents/?pdf=CDL-AD(2018)028-e</w:t>
        </w:r>
      </w:hyperlink>
      <w:r w:rsidRPr="002F67B6">
        <w:rPr>
          <w:noProof/>
          <w:sz w:val="22"/>
          <w:szCs w:val="22"/>
          <w:lang w:eastAsia="en-GB"/>
        </w:rPr>
        <w:t>.</w:t>
      </w:r>
    </w:p>
    <w:p w14:paraId="43EF3ED5" w14:textId="77777777" w:rsidR="002F67B6" w:rsidRPr="002F67B6" w:rsidRDefault="002F67B6" w:rsidP="002F67B6">
      <w:pPr>
        <w:pageBreakBefore/>
        <w:spacing w:after="120" w:line="264" w:lineRule="auto"/>
        <w:rPr>
          <w:b/>
          <w:noProof/>
          <w:lang w:eastAsia="en-GB"/>
        </w:rPr>
      </w:pPr>
      <w:r w:rsidRPr="002F67B6">
        <w:rPr>
          <w:b/>
          <w:noProof/>
          <w:lang w:eastAsia="en-GB"/>
        </w:rPr>
        <w:t>Annex II: Country visit to Malta</w:t>
      </w:r>
    </w:p>
    <w:p w14:paraId="4C4A3E41" w14:textId="77777777" w:rsidR="002F67B6" w:rsidRPr="002F67B6" w:rsidRDefault="002F67B6" w:rsidP="002F67B6">
      <w:pPr>
        <w:spacing w:after="120" w:line="264" w:lineRule="auto"/>
        <w:rPr>
          <w:noProof/>
          <w:shd w:val="clear" w:color="auto" w:fill="FFFFFF"/>
          <w:lang w:eastAsia="en-GB"/>
        </w:rPr>
      </w:pPr>
      <w:r w:rsidRPr="002F67B6">
        <w:rPr>
          <w:noProof/>
          <w:lang w:eastAsia="en-GB"/>
        </w:rPr>
        <w:t xml:space="preserve">The Commission services held </w:t>
      </w:r>
      <w:r w:rsidRPr="002F67B6">
        <w:rPr>
          <w:noProof/>
          <w:lang w:val="en-US" w:eastAsia="en-GB"/>
        </w:rPr>
        <w:t xml:space="preserve">physical and virtual </w:t>
      </w:r>
      <w:r w:rsidRPr="002F67B6">
        <w:rPr>
          <w:noProof/>
          <w:lang w:eastAsia="en-GB"/>
        </w:rPr>
        <w:t>meetings in January and March 2026 with:</w:t>
      </w:r>
    </w:p>
    <w:p w14:paraId="57432B63" w14:textId="77777777" w:rsidR="002F67B6" w:rsidRPr="002F67B6" w:rsidRDefault="002F67B6" w:rsidP="002F67B6">
      <w:pPr>
        <w:numPr>
          <w:ilvl w:val="0"/>
          <w:numId w:val="21"/>
        </w:numPr>
        <w:spacing w:line="256" w:lineRule="auto"/>
        <w:contextualSpacing/>
        <w:rPr>
          <w:rFonts w:eastAsiaTheme="minorHAnsi" w:cstheme="minorBidi"/>
          <w:noProof/>
          <w:szCs w:val="24"/>
          <w:bdr w:val="none" w:sz="0" w:space="0" w:color="auto" w:frame="1"/>
          <w:lang w:eastAsia="en-US"/>
        </w:rPr>
      </w:pPr>
      <w:r w:rsidRPr="002F67B6">
        <w:rPr>
          <w:rFonts w:eastAsiaTheme="minorHAnsi" w:cstheme="minorBidi"/>
          <w:noProof/>
          <w:szCs w:val="24"/>
          <w:bdr w:val="none" w:sz="0" w:space="0" w:color="auto" w:frame="1"/>
          <w:lang w:eastAsia="en-US"/>
        </w:rPr>
        <w:t>Office of the Prime Minister</w:t>
      </w:r>
    </w:p>
    <w:p w14:paraId="46E464C2" w14:textId="77777777" w:rsidR="002F67B6" w:rsidRPr="002F67B6" w:rsidRDefault="002F67B6" w:rsidP="002F67B6">
      <w:pPr>
        <w:numPr>
          <w:ilvl w:val="0"/>
          <w:numId w:val="21"/>
        </w:numPr>
        <w:spacing w:line="256" w:lineRule="auto"/>
        <w:contextualSpacing/>
        <w:rPr>
          <w:rFonts w:eastAsiaTheme="minorHAnsi" w:cstheme="minorBidi"/>
          <w:noProof/>
          <w:szCs w:val="24"/>
          <w:bdr w:val="none" w:sz="0" w:space="0" w:color="auto" w:frame="1"/>
          <w:lang w:eastAsia="en-US"/>
        </w:rPr>
      </w:pPr>
      <w:r w:rsidRPr="002F67B6">
        <w:rPr>
          <w:rFonts w:eastAsiaTheme="minorHAnsi" w:cstheme="minorBidi"/>
          <w:noProof/>
          <w:szCs w:val="24"/>
          <w:bdr w:val="none" w:sz="0" w:space="0" w:color="auto" w:frame="1"/>
          <w:lang w:eastAsia="en-US"/>
        </w:rPr>
        <w:t>Ministry for Foreign and European Affairs and Trade</w:t>
      </w:r>
    </w:p>
    <w:p w14:paraId="42FA409E" w14:textId="77777777" w:rsidR="002F67B6" w:rsidRPr="002F67B6" w:rsidRDefault="002F67B6" w:rsidP="002F67B6">
      <w:pPr>
        <w:numPr>
          <w:ilvl w:val="0"/>
          <w:numId w:val="21"/>
        </w:numPr>
        <w:spacing w:line="256" w:lineRule="auto"/>
        <w:contextualSpacing/>
        <w:rPr>
          <w:rFonts w:eastAsiaTheme="minorHAnsi" w:cstheme="minorBidi"/>
          <w:noProof/>
          <w:szCs w:val="24"/>
          <w:bdr w:val="none" w:sz="0" w:space="0" w:color="auto" w:frame="1"/>
          <w:lang w:eastAsia="en-US"/>
        </w:rPr>
      </w:pPr>
      <w:r w:rsidRPr="002F67B6">
        <w:rPr>
          <w:rFonts w:eastAsiaTheme="minorHAnsi" w:cstheme="minorBidi"/>
          <w:noProof/>
          <w:szCs w:val="24"/>
          <w:bdr w:val="none" w:sz="0" w:space="0" w:color="auto" w:frame="1"/>
          <w:lang w:eastAsia="en-US"/>
        </w:rPr>
        <w:t>Ministry for Justice and Reforms for the Construction Sector</w:t>
      </w:r>
    </w:p>
    <w:p w14:paraId="158DB495" w14:textId="77777777" w:rsidR="002F67B6" w:rsidRPr="002F67B6" w:rsidRDefault="002F67B6" w:rsidP="002F67B6">
      <w:pPr>
        <w:numPr>
          <w:ilvl w:val="0"/>
          <w:numId w:val="21"/>
        </w:numPr>
        <w:spacing w:line="256" w:lineRule="auto"/>
        <w:contextualSpacing/>
        <w:rPr>
          <w:rFonts w:eastAsiaTheme="minorHAnsi" w:cstheme="minorBidi"/>
          <w:noProof/>
          <w:szCs w:val="24"/>
          <w:bdr w:val="none" w:sz="0" w:space="0" w:color="auto" w:frame="1"/>
          <w:lang w:eastAsia="en-US"/>
        </w:rPr>
      </w:pPr>
      <w:r w:rsidRPr="002F67B6">
        <w:rPr>
          <w:rFonts w:eastAsiaTheme="minorHAnsi" w:cstheme="minorBidi"/>
          <w:noProof/>
          <w:szCs w:val="24"/>
          <w:bdr w:val="none" w:sz="0" w:space="0" w:color="auto" w:frame="1"/>
          <w:lang w:eastAsia="en-US"/>
        </w:rPr>
        <w:t>Ministry for Culture, Lands and Local Government</w:t>
      </w:r>
    </w:p>
    <w:p w14:paraId="78558108" w14:textId="77777777" w:rsidR="002F67B6" w:rsidRPr="002F67B6" w:rsidRDefault="002F67B6" w:rsidP="002F67B6">
      <w:pPr>
        <w:numPr>
          <w:ilvl w:val="0"/>
          <w:numId w:val="21"/>
        </w:numPr>
        <w:spacing w:line="256" w:lineRule="auto"/>
        <w:contextualSpacing/>
        <w:rPr>
          <w:rFonts w:eastAsiaTheme="minorHAnsi" w:cstheme="minorBidi"/>
          <w:noProof/>
          <w:szCs w:val="24"/>
          <w:bdr w:val="none" w:sz="0" w:space="0" w:color="auto" w:frame="1"/>
          <w:lang w:eastAsia="en-US"/>
        </w:rPr>
      </w:pPr>
      <w:r w:rsidRPr="002F67B6">
        <w:rPr>
          <w:rFonts w:eastAsiaTheme="minorHAnsi" w:cstheme="minorBidi"/>
          <w:noProof/>
          <w:szCs w:val="24"/>
          <w:bdr w:val="none" w:sz="0" w:space="0" w:color="auto" w:frame="1"/>
          <w:lang w:eastAsia="en-US"/>
        </w:rPr>
        <w:t>Ministry for Home Affairs, Security, Reforms and Equality</w:t>
      </w:r>
    </w:p>
    <w:p w14:paraId="034405FF" w14:textId="77777777" w:rsidR="002F67B6" w:rsidRPr="002F67B6" w:rsidRDefault="002F67B6" w:rsidP="002F67B6">
      <w:pPr>
        <w:numPr>
          <w:ilvl w:val="0"/>
          <w:numId w:val="21"/>
        </w:numPr>
        <w:spacing w:line="256" w:lineRule="auto"/>
        <w:contextualSpacing/>
        <w:rPr>
          <w:rFonts w:eastAsiaTheme="minorHAnsi" w:cstheme="minorBidi"/>
          <w:noProof/>
          <w:szCs w:val="24"/>
          <w:bdr w:val="none" w:sz="0" w:space="0" w:color="auto" w:frame="1"/>
          <w:lang w:eastAsia="en-US"/>
        </w:rPr>
      </w:pPr>
      <w:r w:rsidRPr="002F67B6">
        <w:rPr>
          <w:rFonts w:eastAsiaTheme="minorHAnsi" w:cstheme="minorBidi"/>
          <w:noProof/>
          <w:szCs w:val="24"/>
          <w:bdr w:val="none" w:sz="0" w:space="0" w:color="auto" w:frame="1"/>
          <w:lang w:eastAsia="en-US"/>
        </w:rPr>
        <w:t>Court Services Agency</w:t>
      </w:r>
    </w:p>
    <w:p w14:paraId="63A6C54D" w14:textId="77777777" w:rsidR="002F67B6" w:rsidRPr="002F67B6" w:rsidRDefault="002F67B6" w:rsidP="002F67B6">
      <w:pPr>
        <w:numPr>
          <w:ilvl w:val="0"/>
          <w:numId w:val="21"/>
        </w:numPr>
        <w:spacing w:line="256" w:lineRule="auto"/>
        <w:ind w:left="714" w:hanging="357"/>
        <w:contextualSpacing/>
        <w:rPr>
          <w:rFonts w:eastAsiaTheme="minorHAnsi" w:cstheme="minorBidi"/>
          <w:noProof/>
          <w:szCs w:val="24"/>
          <w:shd w:val="clear" w:color="auto" w:fill="FFFFFF"/>
          <w:lang w:eastAsia="en-US"/>
        </w:rPr>
      </w:pPr>
      <w:r w:rsidRPr="002F67B6">
        <w:rPr>
          <w:rFonts w:eastAsiaTheme="minorHAnsi" w:cstheme="minorBidi"/>
          <w:noProof/>
          <w:szCs w:val="24"/>
          <w:shd w:val="clear" w:color="auto" w:fill="FFFFFF"/>
          <w:lang w:eastAsia="en-US"/>
        </w:rPr>
        <w:t>Chief Justice</w:t>
      </w:r>
    </w:p>
    <w:p w14:paraId="0FEC07A0" w14:textId="77777777" w:rsidR="002F67B6" w:rsidRPr="002F67B6" w:rsidRDefault="002F67B6" w:rsidP="002F67B6">
      <w:pPr>
        <w:numPr>
          <w:ilvl w:val="0"/>
          <w:numId w:val="21"/>
        </w:numPr>
        <w:spacing w:line="256" w:lineRule="auto"/>
        <w:ind w:left="714" w:hanging="357"/>
        <w:contextualSpacing/>
        <w:rPr>
          <w:rFonts w:eastAsiaTheme="minorHAnsi" w:cstheme="minorBidi"/>
          <w:noProof/>
          <w:szCs w:val="24"/>
          <w:shd w:val="clear" w:color="auto" w:fill="FFFFFF"/>
          <w:lang w:eastAsia="en-US"/>
        </w:rPr>
      </w:pPr>
      <w:r w:rsidRPr="002F67B6">
        <w:rPr>
          <w:rFonts w:eastAsiaTheme="minorHAnsi" w:cstheme="minorBidi"/>
          <w:noProof/>
          <w:szCs w:val="24"/>
          <w:shd w:val="clear" w:color="auto" w:fill="FFFFFF"/>
          <w:lang w:eastAsia="en-US"/>
        </w:rPr>
        <w:t>Attorney General</w:t>
      </w:r>
    </w:p>
    <w:p w14:paraId="6CED37C6" w14:textId="77777777" w:rsidR="002F67B6" w:rsidRPr="002F67B6" w:rsidRDefault="002F67B6" w:rsidP="002F67B6">
      <w:pPr>
        <w:numPr>
          <w:ilvl w:val="0"/>
          <w:numId w:val="21"/>
        </w:numPr>
        <w:spacing w:line="256" w:lineRule="auto"/>
        <w:ind w:left="714" w:hanging="357"/>
        <w:contextualSpacing/>
        <w:rPr>
          <w:rFonts w:eastAsiaTheme="minorHAnsi" w:cstheme="minorBidi"/>
          <w:noProof/>
          <w:szCs w:val="24"/>
          <w:shd w:val="clear" w:color="auto" w:fill="FFFFFF"/>
          <w:lang w:eastAsia="en-US"/>
        </w:rPr>
      </w:pPr>
      <w:r w:rsidRPr="002F67B6">
        <w:rPr>
          <w:rFonts w:eastAsiaTheme="minorHAnsi" w:cstheme="minorBidi"/>
          <w:noProof/>
          <w:szCs w:val="24"/>
          <w:shd w:val="clear" w:color="auto" w:fill="FFFFFF"/>
          <w:lang w:eastAsia="en-US"/>
        </w:rPr>
        <w:t>State Advocate</w:t>
      </w:r>
    </w:p>
    <w:p w14:paraId="63819F0A" w14:textId="77777777" w:rsidR="002F67B6" w:rsidRPr="002F67B6" w:rsidRDefault="002F67B6" w:rsidP="002F67B6">
      <w:pPr>
        <w:numPr>
          <w:ilvl w:val="0"/>
          <w:numId w:val="21"/>
        </w:numPr>
        <w:spacing w:line="256" w:lineRule="auto"/>
        <w:contextualSpacing/>
        <w:rPr>
          <w:rFonts w:eastAsiaTheme="minorHAnsi" w:cstheme="minorBidi"/>
          <w:noProof/>
          <w:szCs w:val="24"/>
          <w:bdr w:val="none" w:sz="0" w:space="0" w:color="auto" w:frame="1"/>
          <w:lang w:eastAsia="en-US"/>
        </w:rPr>
      </w:pPr>
      <w:r w:rsidRPr="002F67B6">
        <w:rPr>
          <w:rFonts w:eastAsiaTheme="minorHAnsi" w:cstheme="minorBidi"/>
          <w:noProof/>
          <w:szCs w:val="24"/>
          <w:bdr w:val="none" w:sz="0" w:space="0" w:color="auto" w:frame="1"/>
          <w:lang w:eastAsia="en-US"/>
        </w:rPr>
        <w:t>Malta Police Force: Financial Crimes Investigations Department</w:t>
      </w:r>
    </w:p>
    <w:p w14:paraId="7EBF2310" w14:textId="77777777" w:rsidR="002F67B6" w:rsidRPr="002F67B6" w:rsidRDefault="002F67B6" w:rsidP="002F67B6">
      <w:pPr>
        <w:numPr>
          <w:ilvl w:val="0"/>
          <w:numId w:val="21"/>
        </w:numPr>
        <w:spacing w:line="256" w:lineRule="auto"/>
        <w:ind w:left="714" w:hanging="357"/>
        <w:contextualSpacing/>
        <w:rPr>
          <w:rFonts w:eastAsiaTheme="minorHAnsi" w:cstheme="minorBidi"/>
          <w:noProof/>
          <w:szCs w:val="24"/>
          <w:shd w:val="clear" w:color="auto" w:fill="FFFFFF"/>
          <w:lang w:eastAsia="en-US"/>
        </w:rPr>
      </w:pPr>
      <w:r w:rsidRPr="002F67B6">
        <w:rPr>
          <w:rFonts w:eastAsiaTheme="minorHAnsi" w:cstheme="minorBidi"/>
          <w:noProof/>
          <w:szCs w:val="24"/>
          <w:shd w:val="clear" w:color="auto" w:fill="FFFFFF"/>
          <w:lang w:eastAsia="en-US"/>
        </w:rPr>
        <w:t>Internal Audit and Investigations Department</w:t>
      </w:r>
    </w:p>
    <w:p w14:paraId="05B11441" w14:textId="77777777" w:rsidR="002F67B6" w:rsidRPr="002F67B6" w:rsidRDefault="002F67B6" w:rsidP="002F67B6">
      <w:pPr>
        <w:numPr>
          <w:ilvl w:val="0"/>
          <w:numId w:val="21"/>
        </w:numPr>
        <w:spacing w:line="256" w:lineRule="auto"/>
        <w:ind w:left="714" w:hanging="357"/>
        <w:contextualSpacing/>
        <w:rPr>
          <w:rFonts w:eastAsiaTheme="minorHAnsi" w:cstheme="minorBidi"/>
          <w:noProof/>
          <w:szCs w:val="24"/>
          <w:shd w:val="clear" w:color="auto" w:fill="FFFFFF"/>
          <w:lang w:eastAsia="en-US"/>
        </w:rPr>
      </w:pPr>
      <w:r w:rsidRPr="002F67B6">
        <w:rPr>
          <w:rFonts w:eastAsiaTheme="minorHAnsi" w:cstheme="minorBidi"/>
          <w:noProof/>
          <w:szCs w:val="24"/>
          <w:lang w:eastAsia="en-US"/>
        </w:rPr>
        <w:t>Permanent Commission Against Corruption</w:t>
      </w:r>
    </w:p>
    <w:p w14:paraId="7562A367" w14:textId="627A4564" w:rsidR="002F67B6" w:rsidRPr="002F67B6" w:rsidRDefault="002F67B6" w:rsidP="002F67B6">
      <w:pPr>
        <w:numPr>
          <w:ilvl w:val="0"/>
          <w:numId w:val="21"/>
        </w:numPr>
        <w:spacing w:line="256" w:lineRule="auto"/>
        <w:ind w:left="714" w:hanging="357"/>
        <w:contextualSpacing/>
        <w:rPr>
          <w:rFonts w:eastAsiaTheme="minorHAnsi" w:cstheme="minorBidi"/>
          <w:noProof/>
          <w:szCs w:val="24"/>
          <w:shd w:val="clear" w:color="auto" w:fill="FFFFFF"/>
          <w:lang w:eastAsia="en-US"/>
        </w:rPr>
      </w:pPr>
      <w:r w:rsidRPr="002F67B6">
        <w:rPr>
          <w:rFonts w:eastAsiaTheme="minorHAnsi" w:cstheme="minorBidi"/>
          <w:noProof/>
          <w:szCs w:val="24"/>
          <w:shd w:val="clear" w:color="auto" w:fill="FFFFFF"/>
          <w:lang w:eastAsia="en-US"/>
        </w:rPr>
        <w:t>Secretariat of Parliament</w:t>
      </w:r>
      <w:r w:rsidR="002D3C6A">
        <w:rPr>
          <w:rFonts w:eastAsiaTheme="minorHAnsi" w:cstheme="minorBidi"/>
          <w:noProof/>
          <w:szCs w:val="24"/>
          <w:shd w:val="clear" w:color="auto" w:fill="FFFFFF"/>
          <w:lang w:eastAsia="en-US"/>
        </w:rPr>
        <w:t xml:space="preserve"> </w:t>
      </w:r>
      <w:r w:rsidR="00233602">
        <w:rPr>
          <w:rFonts w:eastAsiaTheme="minorHAnsi" w:cstheme="minorBidi"/>
          <w:noProof/>
          <w:szCs w:val="24"/>
          <w:shd w:val="clear" w:color="auto" w:fill="FFFFFF"/>
          <w:lang w:eastAsia="en-US"/>
        </w:rPr>
        <w:t>(</w:t>
      </w:r>
      <w:r w:rsidR="00233602" w:rsidRPr="002D3C6A">
        <w:rPr>
          <w:rFonts w:eastAsiaTheme="minorHAnsi" w:cstheme="minorBidi"/>
          <w:noProof/>
          <w:szCs w:val="24"/>
          <w:shd w:val="clear" w:color="auto" w:fill="FFFFFF"/>
          <w:lang w:val="mt-MT" w:eastAsia="en-US"/>
        </w:rPr>
        <w:t>Office of the Clerk to the House of Representatives</w:t>
      </w:r>
      <w:r w:rsidR="00233602">
        <w:rPr>
          <w:rFonts w:eastAsiaTheme="minorHAnsi" w:cstheme="minorBidi"/>
          <w:noProof/>
          <w:szCs w:val="24"/>
          <w:shd w:val="clear" w:color="auto" w:fill="FFFFFF"/>
          <w:lang w:val="mt-MT" w:eastAsia="en-US"/>
        </w:rPr>
        <w:t>)</w:t>
      </w:r>
    </w:p>
    <w:p w14:paraId="6423A38C" w14:textId="77777777" w:rsidR="002F67B6" w:rsidRPr="002F67B6" w:rsidRDefault="002F67B6" w:rsidP="002F67B6">
      <w:pPr>
        <w:numPr>
          <w:ilvl w:val="0"/>
          <w:numId w:val="21"/>
        </w:numPr>
        <w:spacing w:line="256" w:lineRule="auto"/>
        <w:ind w:left="714" w:hanging="357"/>
        <w:contextualSpacing/>
        <w:rPr>
          <w:rFonts w:eastAsiaTheme="minorHAnsi" w:cstheme="minorBidi"/>
          <w:noProof/>
          <w:szCs w:val="24"/>
          <w:shd w:val="clear" w:color="auto" w:fill="FFFFFF"/>
          <w:lang w:eastAsia="en-US"/>
        </w:rPr>
      </w:pPr>
      <w:r w:rsidRPr="002F67B6">
        <w:rPr>
          <w:rFonts w:eastAsiaTheme="minorHAnsi" w:cstheme="minorBidi"/>
          <w:noProof/>
          <w:szCs w:val="24"/>
          <w:shd w:val="clear" w:color="auto" w:fill="FFFFFF"/>
          <w:lang w:eastAsia="en-US"/>
        </w:rPr>
        <w:t>Parliamentary Ombudsman</w:t>
      </w:r>
    </w:p>
    <w:p w14:paraId="464618E3" w14:textId="77777777" w:rsidR="002F67B6" w:rsidRPr="002F67B6" w:rsidRDefault="002F67B6" w:rsidP="002F67B6">
      <w:pPr>
        <w:numPr>
          <w:ilvl w:val="0"/>
          <w:numId w:val="21"/>
        </w:numPr>
        <w:spacing w:line="256" w:lineRule="auto"/>
        <w:ind w:left="714" w:hanging="357"/>
        <w:contextualSpacing/>
        <w:rPr>
          <w:rFonts w:eastAsiaTheme="minorHAnsi" w:cstheme="minorBidi"/>
          <w:noProof/>
          <w:szCs w:val="24"/>
          <w:shd w:val="clear" w:color="auto" w:fill="FFFFFF"/>
          <w:lang w:eastAsia="en-US"/>
        </w:rPr>
      </w:pPr>
      <w:r w:rsidRPr="002F67B6">
        <w:rPr>
          <w:rFonts w:eastAsiaTheme="minorHAnsi" w:cstheme="minorBidi"/>
          <w:noProof/>
          <w:szCs w:val="24"/>
          <w:shd w:val="clear" w:color="auto" w:fill="FFFFFF"/>
          <w:lang w:eastAsia="en-US"/>
        </w:rPr>
        <w:t>Commissioner for Standards in Public Life</w:t>
      </w:r>
    </w:p>
    <w:p w14:paraId="0A358CF1" w14:textId="77777777" w:rsidR="002F67B6" w:rsidRPr="002F67B6" w:rsidRDefault="002F67B6" w:rsidP="002F67B6">
      <w:pPr>
        <w:numPr>
          <w:ilvl w:val="0"/>
          <w:numId w:val="21"/>
        </w:numPr>
        <w:spacing w:line="256" w:lineRule="auto"/>
        <w:ind w:left="714" w:hanging="357"/>
        <w:contextualSpacing/>
        <w:rPr>
          <w:rFonts w:eastAsiaTheme="minorHAnsi" w:cstheme="minorBidi"/>
          <w:noProof/>
          <w:szCs w:val="24"/>
          <w:shd w:val="clear" w:color="auto" w:fill="FFFFFF"/>
          <w:lang w:eastAsia="en-US"/>
        </w:rPr>
      </w:pPr>
      <w:r w:rsidRPr="002F67B6">
        <w:rPr>
          <w:rFonts w:eastAsiaTheme="minorHAnsi" w:cstheme="minorBidi"/>
          <w:noProof/>
          <w:szCs w:val="24"/>
          <w:shd w:val="clear" w:color="auto" w:fill="FFFFFF"/>
          <w:lang w:eastAsia="en-US"/>
        </w:rPr>
        <w:t>National Audit Office</w:t>
      </w:r>
    </w:p>
    <w:p w14:paraId="436CB02C" w14:textId="77777777" w:rsidR="002F67B6" w:rsidRPr="002F67B6" w:rsidRDefault="002F67B6" w:rsidP="002F67B6">
      <w:pPr>
        <w:numPr>
          <w:ilvl w:val="0"/>
          <w:numId w:val="21"/>
        </w:numPr>
        <w:spacing w:line="256" w:lineRule="auto"/>
        <w:ind w:left="714" w:hanging="357"/>
        <w:contextualSpacing/>
        <w:rPr>
          <w:rFonts w:eastAsiaTheme="minorHAnsi" w:cstheme="minorBidi"/>
          <w:noProof/>
          <w:szCs w:val="24"/>
          <w:shd w:val="clear" w:color="auto" w:fill="FFFFFF"/>
          <w:lang w:eastAsia="en-US"/>
        </w:rPr>
      </w:pPr>
      <w:r w:rsidRPr="002F67B6">
        <w:rPr>
          <w:rFonts w:eastAsiaTheme="minorHAnsi" w:cstheme="minorBidi"/>
          <w:noProof/>
          <w:szCs w:val="24"/>
          <w:shd w:val="clear" w:color="auto" w:fill="FFFFFF"/>
          <w:lang w:eastAsia="en-US"/>
        </w:rPr>
        <w:t>Broadcasting Authority</w:t>
      </w:r>
    </w:p>
    <w:p w14:paraId="3BAF71C9" w14:textId="77777777" w:rsidR="002F67B6" w:rsidRPr="002F67B6" w:rsidRDefault="002F67B6" w:rsidP="002F67B6">
      <w:pPr>
        <w:numPr>
          <w:ilvl w:val="0"/>
          <w:numId w:val="21"/>
        </w:numPr>
        <w:spacing w:line="256" w:lineRule="auto"/>
        <w:ind w:left="714" w:hanging="357"/>
        <w:contextualSpacing/>
        <w:rPr>
          <w:rFonts w:eastAsiaTheme="minorHAnsi" w:cstheme="minorBidi"/>
          <w:noProof/>
          <w:szCs w:val="24"/>
          <w:shd w:val="clear" w:color="auto" w:fill="FFFFFF"/>
          <w:lang w:eastAsia="en-US"/>
        </w:rPr>
      </w:pPr>
      <w:r w:rsidRPr="002F67B6">
        <w:rPr>
          <w:rFonts w:eastAsiaTheme="minorHAnsi" w:cstheme="minorBidi"/>
          <w:noProof/>
          <w:szCs w:val="24"/>
          <w:shd w:val="clear" w:color="auto" w:fill="FFFFFF"/>
          <w:lang w:eastAsia="en-US"/>
        </w:rPr>
        <w:t>Information and Data Protection Commissioner</w:t>
      </w:r>
    </w:p>
    <w:p w14:paraId="54ACF1C7" w14:textId="77777777" w:rsidR="002F67B6" w:rsidRPr="002F67B6" w:rsidRDefault="002F67B6" w:rsidP="002F67B6">
      <w:pPr>
        <w:numPr>
          <w:ilvl w:val="0"/>
          <w:numId w:val="21"/>
        </w:numPr>
        <w:spacing w:line="256" w:lineRule="auto"/>
        <w:ind w:left="714" w:hanging="357"/>
        <w:contextualSpacing/>
        <w:rPr>
          <w:rFonts w:eastAsiaTheme="minorHAnsi" w:cstheme="minorBidi"/>
          <w:noProof/>
          <w:szCs w:val="24"/>
          <w:shd w:val="clear" w:color="auto" w:fill="FFFFFF"/>
          <w:lang w:eastAsia="en-US"/>
        </w:rPr>
      </w:pPr>
      <w:r w:rsidRPr="002F67B6">
        <w:rPr>
          <w:rFonts w:eastAsiaTheme="minorHAnsi" w:cstheme="minorBidi"/>
          <w:noProof/>
          <w:szCs w:val="24"/>
          <w:shd w:val="clear" w:color="auto" w:fill="FFFFFF"/>
          <w:lang w:eastAsia="en-US"/>
        </w:rPr>
        <w:t>Commissioner for Voluntary Organisations</w:t>
      </w:r>
    </w:p>
    <w:p w14:paraId="09C43D42" w14:textId="77777777" w:rsidR="002F67B6" w:rsidRPr="002F67B6" w:rsidRDefault="002F67B6" w:rsidP="002F67B6">
      <w:pPr>
        <w:numPr>
          <w:ilvl w:val="0"/>
          <w:numId w:val="21"/>
        </w:numPr>
        <w:spacing w:line="256" w:lineRule="auto"/>
        <w:ind w:left="714" w:hanging="357"/>
        <w:contextualSpacing/>
        <w:rPr>
          <w:rFonts w:eastAsiaTheme="minorHAnsi" w:cstheme="minorBidi"/>
          <w:noProof/>
          <w:szCs w:val="24"/>
          <w:shd w:val="clear" w:color="auto" w:fill="FFFFFF"/>
          <w:lang w:eastAsia="en-US"/>
        </w:rPr>
      </w:pPr>
      <w:r w:rsidRPr="002F67B6">
        <w:rPr>
          <w:rFonts w:eastAsiaTheme="minorHAnsi" w:cstheme="minorBidi"/>
          <w:noProof/>
          <w:szCs w:val="24"/>
          <w:shd w:val="clear" w:color="auto" w:fill="FFFFFF"/>
          <w:lang w:eastAsia="en-US"/>
        </w:rPr>
        <w:t>National Commission for the Promotion of Equality</w:t>
      </w:r>
    </w:p>
    <w:p w14:paraId="486EB7E9" w14:textId="77777777" w:rsidR="002F67B6" w:rsidRPr="002F67B6" w:rsidRDefault="002F67B6" w:rsidP="002F67B6">
      <w:pPr>
        <w:numPr>
          <w:ilvl w:val="0"/>
          <w:numId w:val="21"/>
        </w:numPr>
        <w:spacing w:line="256" w:lineRule="auto"/>
        <w:ind w:left="714" w:hanging="357"/>
        <w:contextualSpacing/>
        <w:rPr>
          <w:rFonts w:eastAsiaTheme="minorHAnsi" w:cstheme="minorBidi"/>
          <w:noProof/>
          <w:szCs w:val="24"/>
          <w:shd w:val="clear" w:color="auto" w:fill="FFFFFF"/>
          <w:lang w:eastAsia="en-US"/>
        </w:rPr>
      </w:pPr>
      <w:r w:rsidRPr="002F67B6">
        <w:rPr>
          <w:rFonts w:eastAsiaTheme="minorHAnsi" w:cstheme="minorBidi"/>
          <w:noProof/>
          <w:szCs w:val="24"/>
          <w:shd w:val="clear" w:color="auto" w:fill="FFFFFF"/>
          <w:lang w:eastAsia="en-US"/>
        </w:rPr>
        <w:t>Chamber of Advocates</w:t>
      </w:r>
    </w:p>
    <w:p w14:paraId="5A92428E" w14:textId="77777777" w:rsidR="002F67B6" w:rsidRPr="002F67B6" w:rsidRDefault="002F67B6" w:rsidP="002F67B6">
      <w:pPr>
        <w:numPr>
          <w:ilvl w:val="0"/>
          <w:numId w:val="21"/>
        </w:numPr>
        <w:spacing w:line="256" w:lineRule="auto"/>
        <w:ind w:left="714" w:hanging="357"/>
        <w:contextualSpacing/>
        <w:rPr>
          <w:rFonts w:eastAsiaTheme="minorHAnsi" w:cstheme="minorBidi"/>
          <w:noProof/>
          <w:szCs w:val="24"/>
          <w:shd w:val="clear" w:color="auto" w:fill="FFFFFF"/>
          <w:lang w:eastAsia="en-US"/>
        </w:rPr>
      </w:pPr>
      <w:r w:rsidRPr="002F67B6">
        <w:rPr>
          <w:rFonts w:eastAsiaTheme="minorHAnsi" w:cstheme="minorBidi"/>
          <w:noProof/>
          <w:szCs w:val="24"/>
          <w:bdr w:val="none" w:sz="0" w:space="0" w:color="auto" w:frame="1"/>
          <w:lang w:eastAsia="en-US"/>
        </w:rPr>
        <w:t>Institute of Maltese Journalists</w:t>
      </w:r>
    </w:p>
    <w:p w14:paraId="3810246B" w14:textId="77777777" w:rsidR="002F67B6" w:rsidRPr="002F67B6" w:rsidRDefault="002F67B6" w:rsidP="002F67B6">
      <w:pPr>
        <w:numPr>
          <w:ilvl w:val="0"/>
          <w:numId w:val="21"/>
        </w:numPr>
        <w:spacing w:line="256" w:lineRule="auto"/>
        <w:ind w:left="714" w:hanging="357"/>
        <w:contextualSpacing/>
        <w:rPr>
          <w:rFonts w:eastAsiaTheme="minorHAnsi" w:cstheme="minorBidi"/>
          <w:noProof/>
          <w:szCs w:val="24"/>
          <w:shd w:val="clear" w:color="auto" w:fill="FFFFFF"/>
          <w:lang w:eastAsia="en-US"/>
        </w:rPr>
      </w:pPr>
      <w:r w:rsidRPr="002F67B6">
        <w:rPr>
          <w:rFonts w:eastAsiaTheme="minorHAnsi" w:cstheme="minorBidi"/>
          <w:noProof/>
          <w:szCs w:val="24"/>
          <w:shd w:val="clear" w:color="auto" w:fill="FFFFFF"/>
          <w:lang w:eastAsia="en-US"/>
        </w:rPr>
        <w:t>Aditus Foundation</w:t>
      </w:r>
    </w:p>
    <w:p w14:paraId="5E51E6C0" w14:textId="77777777" w:rsidR="002F67B6" w:rsidRPr="002F67B6" w:rsidRDefault="002F67B6" w:rsidP="002F67B6">
      <w:pPr>
        <w:numPr>
          <w:ilvl w:val="0"/>
          <w:numId w:val="21"/>
        </w:numPr>
        <w:spacing w:line="256" w:lineRule="auto"/>
        <w:ind w:left="714" w:hanging="357"/>
        <w:contextualSpacing/>
        <w:rPr>
          <w:rFonts w:eastAsiaTheme="minorHAnsi" w:cstheme="minorBidi"/>
          <w:noProof/>
          <w:szCs w:val="24"/>
          <w:shd w:val="clear" w:color="auto" w:fill="FFFFFF"/>
          <w:lang w:eastAsia="en-US"/>
        </w:rPr>
      </w:pPr>
      <w:r w:rsidRPr="002F67B6">
        <w:rPr>
          <w:rFonts w:eastAsiaTheme="minorHAnsi" w:cstheme="minorBidi"/>
          <w:noProof/>
          <w:szCs w:val="24"/>
          <w:shd w:val="clear" w:color="auto" w:fill="FFFFFF"/>
          <w:lang w:eastAsia="en-US"/>
        </w:rPr>
        <w:t>Daphne Caruana Galizia Foundation</w:t>
      </w:r>
    </w:p>
    <w:p w14:paraId="070E3157" w14:textId="77777777" w:rsidR="002F67B6" w:rsidRPr="002F67B6" w:rsidRDefault="002F67B6" w:rsidP="002F67B6">
      <w:pPr>
        <w:numPr>
          <w:ilvl w:val="0"/>
          <w:numId w:val="21"/>
        </w:numPr>
        <w:spacing w:line="256" w:lineRule="auto"/>
        <w:ind w:left="714" w:hanging="357"/>
        <w:contextualSpacing/>
        <w:rPr>
          <w:rFonts w:eastAsiaTheme="minorHAnsi" w:cstheme="minorBidi"/>
          <w:noProof/>
          <w:szCs w:val="24"/>
          <w:shd w:val="clear" w:color="auto" w:fill="FFFFFF"/>
          <w:lang w:eastAsia="en-US"/>
        </w:rPr>
      </w:pPr>
      <w:r w:rsidRPr="002F67B6">
        <w:rPr>
          <w:rFonts w:eastAsiaTheme="minorHAnsi" w:cstheme="minorBidi"/>
          <w:noProof/>
          <w:szCs w:val="24"/>
          <w:shd w:val="clear" w:color="auto" w:fill="FFFFFF"/>
          <w:lang w:eastAsia="en-US"/>
        </w:rPr>
        <w:t>Repubblika</w:t>
      </w:r>
    </w:p>
    <w:p w14:paraId="46878510" w14:textId="77777777" w:rsidR="002F67B6" w:rsidRPr="002F67B6" w:rsidRDefault="002F67B6" w:rsidP="002F67B6">
      <w:pPr>
        <w:numPr>
          <w:ilvl w:val="0"/>
          <w:numId w:val="21"/>
        </w:numPr>
        <w:spacing w:line="256" w:lineRule="auto"/>
        <w:ind w:left="714" w:hanging="357"/>
        <w:contextualSpacing/>
        <w:rPr>
          <w:rFonts w:eastAsiaTheme="minorHAnsi" w:cstheme="minorBidi"/>
          <w:noProof/>
          <w:szCs w:val="24"/>
          <w:shd w:val="clear" w:color="auto" w:fill="FFFFFF"/>
          <w:lang w:eastAsia="en-US"/>
        </w:rPr>
      </w:pPr>
      <w:r w:rsidRPr="002F67B6">
        <w:rPr>
          <w:rFonts w:eastAsiaTheme="minorHAnsi" w:cstheme="minorBidi"/>
          <w:noProof/>
          <w:szCs w:val="24"/>
          <w:shd w:val="clear" w:color="auto" w:fill="FFFFFF"/>
          <w:lang w:eastAsia="en-US"/>
        </w:rPr>
        <w:t xml:space="preserve">Malta Business Bureau </w:t>
      </w:r>
    </w:p>
    <w:p w14:paraId="580881F7" w14:textId="77777777" w:rsidR="002F67B6" w:rsidRPr="002F67B6" w:rsidRDefault="002F67B6" w:rsidP="002F67B6">
      <w:pPr>
        <w:numPr>
          <w:ilvl w:val="0"/>
          <w:numId w:val="21"/>
        </w:numPr>
        <w:spacing w:line="256" w:lineRule="auto"/>
        <w:ind w:left="714" w:hanging="357"/>
        <w:contextualSpacing/>
        <w:rPr>
          <w:rFonts w:eastAsiaTheme="minorHAnsi" w:cstheme="minorBidi"/>
          <w:noProof/>
          <w:szCs w:val="24"/>
          <w:shd w:val="clear" w:color="auto" w:fill="FFFFFF"/>
          <w:lang w:eastAsia="en-US"/>
        </w:rPr>
      </w:pPr>
      <w:r w:rsidRPr="002F67B6">
        <w:rPr>
          <w:rFonts w:eastAsiaTheme="minorHAnsi" w:cstheme="minorBidi"/>
          <w:noProof/>
          <w:szCs w:val="24"/>
          <w:shd w:val="clear" w:color="auto" w:fill="FFFFFF"/>
          <w:lang w:eastAsia="en-US"/>
        </w:rPr>
        <w:t>Malta Chamber of Commerce</w:t>
      </w:r>
    </w:p>
    <w:p w14:paraId="596EC1B0" w14:textId="77777777" w:rsidR="002F67B6" w:rsidRPr="002F67B6" w:rsidRDefault="002F67B6" w:rsidP="002F67B6">
      <w:pPr>
        <w:spacing w:after="120" w:line="264" w:lineRule="auto"/>
        <w:rPr>
          <w:noProof/>
          <w:shd w:val="clear" w:color="auto" w:fill="FFFFFF"/>
          <w:lang w:eastAsia="en-GB"/>
        </w:rPr>
      </w:pPr>
    </w:p>
    <w:p w14:paraId="0909586E" w14:textId="07E39F11" w:rsidR="002F67B6" w:rsidRPr="002F67B6" w:rsidRDefault="002F67B6" w:rsidP="002F67B6">
      <w:pPr>
        <w:spacing w:after="120" w:line="264" w:lineRule="auto"/>
        <w:rPr>
          <w:noProof/>
          <w:lang w:eastAsia="en-GB"/>
        </w:rPr>
      </w:pPr>
      <w:r w:rsidRPr="002F67B6">
        <w:rPr>
          <w:noProof/>
          <w:lang w:eastAsia="en-GB"/>
        </w:rPr>
        <w:t>* The Commission also met the following organisations in a number of horizontal meetings:</w:t>
      </w:r>
    </w:p>
    <w:p w14:paraId="46921F1F" w14:textId="77777777" w:rsidR="002F67B6" w:rsidRPr="002F67B6" w:rsidRDefault="002F67B6" w:rsidP="002F67B6">
      <w:pPr>
        <w:numPr>
          <w:ilvl w:val="0"/>
          <w:numId w:val="21"/>
        </w:numPr>
        <w:spacing w:line="256" w:lineRule="auto"/>
        <w:ind w:left="714" w:hanging="357"/>
        <w:contextualSpacing/>
        <w:rPr>
          <w:rFonts w:eastAsiaTheme="minorHAnsi" w:cstheme="minorBidi"/>
          <w:noProof/>
          <w:szCs w:val="24"/>
          <w:shd w:val="clear" w:color="auto" w:fill="FFFFFF"/>
          <w:lang w:eastAsia="en-US"/>
        </w:rPr>
      </w:pPr>
      <w:r w:rsidRPr="002F67B6">
        <w:rPr>
          <w:rFonts w:eastAsiaTheme="minorHAnsi" w:cstheme="minorBidi"/>
          <w:noProof/>
          <w:szCs w:val="24"/>
          <w:shd w:val="clear" w:color="auto" w:fill="FFFFFF"/>
          <w:lang w:eastAsia="en-US"/>
        </w:rPr>
        <w:t>Civil Liberties Union for Europe</w:t>
      </w:r>
    </w:p>
    <w:p w14:paraId="6EC0B3B6" w14:textId="77777777" w:rsidR="002F67B6" w:rsidRPr="002F67B6" w:rsidRDefault="002F67B6" w:rsidP="002F67B6">
      <w:pPr>
        <w:numPr>
          <w:ilvl w:val="0"/>
          <w:numId w:val="21"/>
        </w:numPr>
        <w:spacing w:line="256" w:lineRule="auto"/>
        <w:ind w:left="714" w:hanging="357"/>
        <w:contextualSpacing/>
        <w:rPr>
          <w:rFonts w:eastAsiaTheme="minorHAnsi" w:cstheme="minorBidi"/>
          <w:noProof/>
          <w:szCs w:val="24"/>
          <w:shd w:val="clear" w:color="auto" w:fill="FFFFFF"/>
          <w:lang w:eastAsia="en-US"/>
        </w:rPr>
      </w:pPr>
      <w:r w:rsidRPr="002F67B6">
        <w:rPr>
          <w:rFonts w:eastAsiaTheme="minorHAnsi" w:cstheme="minorBidi"/>
          <w:noProof/>
          <w:szCs w:val="24"/>
          <w:shd w:val="clear" w:color="auto" w:fill="FFFFFF"/>
          <w:lang w:eastAsia="en-US"/>
        </w:rPr>
        <w:t>Civil Society Europe</w:t>
      </w:r>
    </w:p>
    <w:p w14:paraId="71BB49F2" w14:textId="77777777" w:rsidR="002F67B6" w:rsidRPr="002F67B6" w:rsidRDefault="002F67B6" w:rsidP="002F67B6">
      <w:pPr>
        <w:numPr>
          <w:ilvl w:val="0"/>
          <w:numId w:val="21"/>
        </w:numPr>
        <w:spacing w:line="256" w:lineRule="auto"/>
        <w:ind w:left="714" w:hanging="357"/>
        <w:contextualSpacing/>
        <w:rPr>
          <w:rFonts w:eastAsiaTheme="minorHAnsi" w:cstheme="minorBidi"/>
          <w:noProof/>
          <w:szCs w:val="24"/>
          <w:shd w:val="clear" w:color="auto" w:fill="FFFFFF"/>
          <w:lang w:eastAsia="en-US"/>
        </w:rPr>
      </w:pPr>
      <w:r w:rsidRPr="002F67B6">
        <w:rPr>
          <w:rFonts w:eastAsiaTheme="minorHAnsi" w:cstheme="minorBidi"/>
          <w:noProof/>
          <w:szCs w:val="24"/>
          <w:shd w:val="clear" w:color="auto" w:fill="FFFFFF"/>
          <w:lang w:eastAsia="en-US"/>
        </w:rPr>
        <w:t>End FGM EU</w:t>
      </w:r>
    </w:p>
    <w:p w14:paraId="3910BA6E" w14:textId="77777777" w:rsidR="002F67B6" w:rsidRPr="002F67B6" w:rsidRDefault="002F67B6" w:rsidP="002F67B6">
      <w:pPr>
        <w:numPr>
          <w:ilvl w:val="0"/>
          <w:numId w:val="21"/>
        </w:numPr>
        <w:spacing w:line="256" w:lineRule="auto"/>
        <w:ind w:left="714" w:hanging="357"/>
        <w:contextualSpacing/>
        <w:rPr>
          <w:rFonts w:eastAsiaTheme="minorHAnsi" w:cstheme="minorBidi"/>
          <w:noProof/>
          <w:szCs w:val="24"/>
          <w:shd w:val="clear" w:color="auto" w:fill="FFFFFF"/>
          <w:lang w:eastAsia="en-US"/>
        </w:rPr>
      </w:pPr>
      <w:r w:rsidRPr="002F67B6">
        <w:rPr>
          <w:rFonts w:eastAsiaTheme="minorHAnsi" w:cstheme="minorBidi"/>
          <w:noProof/>
          <w:szCs w:val="24"/>
          <w:shd w:val="clear" w:color="auto" w:fill="FFFFFF"/>
          <w:lang w:eastAsia="en-US"/>
        </w:rPr>
        <w:t>European Civic Forum</w:t>
      </w:r>
    </w:p>
    <w:p w14:paraId="51CCEEFE" w14:textId="77777777" w:rsidR="002F67B6" w:rsidRPr="002F67B6" w:rsidRDefault="002F67B6" w:rsidP="002F67B6">
      <w:pPr>
        <w:numPr>
          <w:ilvl w:val="0"/>
          <w:numId w:val="21"/>
        </w:numPr>
        <w:spacing w:line="256" w:lineRule="auto"/>
        <w:ind w:left="714" w:hanging="357"/>
        <w:contextualSpacing/>
        <w:rPr>
          <w:rFonts w:eastAsiaTheme="minorHAnsi" w:cstheme="minorBidi"/>
          <w:noProof/>
          <w:szCs w:val="24"/>
          <w:shd w:val="clear" w:color="auto" w:fill="FFFFFF"/>
          <w:lang w:eastAsia="en-US"/>
        </w:rPr>
      </w:pPr>
      <w:r w:rsidRPr="002F67B6">
        <w:rPr>
          <w:rFonts w:eastAsiaTheme="minorHAnsi" w:cstheme="minorBidi"/>
          <w:noProof/>
          <w:szCs w:val="24"/>
          <w:shd w:val="clear" w:color="auto" w:fill="FFFFFF"/>
          <w:lang w:eastAsia="en-US"/>
        </w:rPr>
        <w:t>European Partnership for Democracy</w:t>
      </w:r>
    </w:p>
    <w:p w14:paraId="3DF968BB" w14:textId="77777777" w:rsidR="002F67B6" w:rsidRPr="002F67B6" w:rsidRDefault="002F67B6" w:rsidP="002F67B6">
      <w:pPr>
        <w:numPr>
          <w:ilvl w:val="0"/>
          <w:numId w:val="21"/>
        </w:numPr>
        <w:spacing w:line="256" w:lineRule="auto"/>
        <w:ind w:left="714" w:hanging="357"/>
        <w:contextualSpacing/>
        <w:rPr>
          <w:rFonts w:eastAsiaTheme="minorHAnsi" w:cstheme="minorBidi"/>
          <w:noProof/>
          <w:szCs w:val="24"/>
          <w:shd w:val="clear" w:color="auto" w:fill="FFFFFF"/>
          <w:lang w:eastAsia="en-US"/>
        </w:rPr>
      </w:pPr>
      <w:r w:rsidRPr="002F67B6">
        <w:rPr>
          <w:rFonts w:eastAsiaTheme="minorHAnsi" w:cstheme="minorBidi"/>
          <w:noProof/>
          <w:szCs w:val="24"/>
          <w:shd w:val="clear" w:color="auto" w:fill="FFFFFF"/>
          <w:lang w:eastAsia="en-US"/>
        </w:rPr>
        <w:t>Human Rights Watch</w:t>
      </w:r>
    </w:p>
    <w:p w14:paraId="24339B56" w14:textId="77777777" w:rsidR="002F67B6" w:rsidRPr="002F67B6" w:rsidRDefault="002F67B6" w:rsidP="002F67B6">
      <w:pPr>
        <w:numPr>
          <w:ilvl w:val="0"/>
          <w:numId w:val="21"/>
        </w:numPr>
        <w:spacing w:line="256" w:lineRule="auto"/>
        <w:ind w:left="714" w:hanging="357"/>
        <w:contextualSpacing/>
        <w:rPr>
          <w:rFonts w:eastAsiaTheme="minorHAnsi" w:cstheme="minorBidi"/>
          <w:noProof/>
          <w:szCs w:val="24"/>
          <w:shd w:val="clear" w:color="auto" w:fill="FFFFFF"/>
          <w:lang w:eastAsia="en-US"/>
        </w:rPr>
      </w:pPr>
      <w:r w:rsidRPr="002F67B6">
        <w:rPr>
          <w:rFonts w:eastAsiaTheme="minorHAnsi" w:cstheme="minorBidi"/>
          <w:noProof/>
          <w:szCs w:val="24"/>
          <w:shd w:val="clear" w:color="auto" w:fill="FFFFFF"/>
          <w:lang w:eastAsia="en-US"/>
        </w:rPr>
        <w:t>ILGA-Europe</w:t>
      </w:r>
    </w:p>
    <w:p w14:paraId="6ADAFE11" w14:textId="77777777" w:rsidR="002F67B6" w:rsidRPr="002F67B6" w:rsidRDefault="002F67B6" w:rsidP="002F67B6">
      <w:pPr>
        <w:numPr>
          <w:ilvl w:val="0"/>
          <w:numId w:val="21"/>
        </w:numPr>
        <w:spacing w:line="256" w:lineRule="auto"/>
        <w:ind w:left="714" w:hanging="357"/>
        <w:contextualSpacing/>
        <w:rPr>
          <w:rFonts w:eastAsiaTheme="minorHAnsi" w:cstheme="minorBidi"/>
          <w:noProof/>
          <w:szCs w:val="24"/>
          <w:shd w:val="clear" w:color="auto" w:fill="FFFFFF"/>
          <w:lang w:eastAsia="en-US"/>
        </w:rPr>
      </w:pPr>
      <w:r w:rsidRPr="002F67B6">
        <w:rPr>
          <w:rFonts w:eastAsiaTheme="minorHAnsi" w:cstheme="minorBidi"/>
          <w:noProof/>
          <w:szCs w:val="24"/>
          <w:shd w:val="clear" w:color="auto" w:fill="FFFFFF"/>
          <w:lang w:eastAsia="en-US"/>
        </w:rPr>
        <w:t>International Federation for Human Rights</w:t>
      </w:r>
    </w:p>
    <w:p w14:paraId="6E51CB7B" w14:textId="77777777" w:rsidR="002F67B6" w:rsidRPr="002F67B6" w:rsidRDefault="002F67B6" w:rsidP="002F67B6">
      <w:pPr>
        <w:numPr>
          <w:ilvl w:val="0"/>
          <w:numId w:val="21"/>
        </w:numPr>
        <w:spacing w:line="256" w:lineRule="auto"/>
        <w:ind w:left="714" w:hanging="357"/>
        <w:contextualSpacing/>
        <w:rPr>
          <w:rFonts w:eastAsiaTheme="minorHAnsi" w:cstheme="minorBidi"/>
          <w:noProof/>
          <w:szCs w:val="24"/>
          <w:shd w:val="clear" w:color="auto" w:fill="FFFFFF"/>
          <w:lang w:eastAsia="en-US"/>
        </w:rPr>
      </w:pPr>
      <w:r w:rsidRPr="002F67B6">
        <w:rPr>
          <w:rFonts w:eastAsiaTheme="minorHAnsi" w:cstheme="minorBidi"/>
          <w:noProof/>
          <w:szCs w:val="24"/>
          <w:shd w:val="clear" w:color="auto" w:fill="FFFFFF"/>
          <w:lang w:eastAsia="en-US"/>
        </w:rPr>
        <w:t>Philea - Philanthropy Europe Association</w:t>
      </w:r>
    </w:p>
    <w:p w14:paraId="7C71BB12" w14:textId="7DC3A6FE" w:rsidR="00CD604B" w:rsidRPr="00C76A32" w:rsidRDefault="002F67B6" w:rsidP="00B51782">
      <w:pPr>
        <w:numPr>
          <w:ilvl w:val="0"/>
          <w:numId w:val="22"/>
        </w:numPr>
        <w:spacing w:after="120" w:line="264" w:lineRule="auto"/>
        <w:rPr>
          <w:rFonts w:eastAsiaTheme="minorHAnsi" w:cstheme="minorBidi"/>
          <w:noProof/>
          <w:szCs w:val="22"/>
          <w:lang w:eastAsia="en-US"/>
        </w:rPr>
      </w:pPr>
      <w:r w:rsidRPr="002F67B6">
        <w:rPr>
          <w:noProof/>
          <w:lang w:val="en-IE" w:eastAsia="en-GB"/>
        </w:rPr>
        <w:t>Transparency International EU</w:t>
      </w:r>
    </w:p>
    <w:sectPr w:rsidR="00CD604B" w:rsidRPr="00C76A32" w:rsidSect="002F67B6">
      <w:headerReference w:type="even" r:id="rId78"/>
      <w:headerReference w:type="default" r:id="rId79"/>
      <w:footerReference w:type="even" r:id="rId80"/>
      <w:footerReference w:type="default" r:id="rId81"/>
      <w:headerReference w:type="first" r:id="rId82"/>
      <w:footerReference w:type="first" r:id="rId83"/>
      <w:pgSz w:w="11906" w:h="16838"/>
      <w:pgMar w:top="1440" w:right="1440" w:bottom="1440" w:left="1440"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7E0053" w14:textId="77777777" w:rsidR="00FF1D44" w:rsidRDefault="00FF1D44">
      <w:pPr>
        <w:spacing w:after="0"/>
      </w:pPr>
      <w:r>
        <w:separator/>
      </w:r>
    </w:p>
  </w:endnote>
  <w:endnote w:type="continuationSeparator" w:id="0">
    <w:p w14:paraId="3B2714FC" w14:textId="77777777" w:rsidR="00FF1D44" w:rsidRDefault="00FF1D4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1656A" w14:textId="538F4C17" w:rsidR="00AE52BC" w:rsidRPr="00AE52BC" w:rsidRDefault="00AE52BC" w:rsidP="00AE52BC">
    <w:pPr>
      <w:pStyle w:val="FooterCoverPage"/>
      <w:rPr>
        <w:rFonts w:ascii="Arial" w:hAnsi="Arial" w:cs="Arial"/>
        <w:b/>
        <w:sz w:val="48"/>
      </w:rPr>
    </w:pPr>
    <w:r w:rsidRPr="00AE52BC">
      <w:rPr>
        <w:rFonts w:ascii="Arial" w:hAnsi="Arial" w:cs="Arial"/>
        <w:b/>
        <w:sz w:val="48"/>
      </w:rPr>
      <w:t>EN</w:t>
    </w:r>
    <w:r w:rsidRPr="00AE52BC">
      <w:rPr>
        <w:rFonts w:ascii="Arial" w:hAnsi="Arial" w:cs="Arial"/>
        <w:b/>
        <w:sz w:val="48"/>
      </w:rPr>
      <w:tab/>
    </w:r>
    <w:r w:rsidRPr="00AE52BC">
      <w:rPr>
        <w:rFonts w:ascii="Arial" w:hAnsi="Arial" w:cs="Arial"/>
        <w:b/>
        <w:sz w:val="48"/>
      </w:rPr>
      <w:tab/>
    </w:r>
    <w:r w:rsidRPr="00AE52BC">
      <w:tab/>
    </w:r>
    <w:r w:rsidRPr="00AE52B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22375D" w14:textId="1925A675" w:rsidR="00AE52BC" w:rsidRPr="00AE52BC" w:rsidRDefault="00AE52BC" w:rsidP="00AE52BC">
    <w:pPr>
      <w:pStyle w:val="FooterCoverPage"/>
      <w:rPr>
        <w:rFonts w:ascii="Arial" w:hAnsi="Arial" w:cs="Arial"/>
        <w:b/>
        <w:sz w:val="48"/>
      </w:rPr>
    </w:pPr>
    <w:r w:rsidRPr="00AE52BC">
      <w:rPr>
        <w:rFonts w:ascii="Arial" w:hAnsi="Arial" w:cs="Arial"/>
        <w:b/>
        <w:sz w:val="48"/>
      </w:rPr>
      <w:t>EN</w:t>
    </w:r>
    <w:r w:rsidRPr="00AE52BC">
      <w:rPr>
        <w:rFonts w:ascii="Arial" w:hAnsi="Arial" w:cs="Arial"/>
        <w:b/>
        <w:sz w:val="48"/>
      </w:rPr>
      <w:tab/>
    </w:r>
    <w:r w:rsidRPr="00AE52BC">
      <w:rPr>
        <w:rFonts w:ascii="Arial" w:hAnsi="Arial" w:cs="Arial"/>
        <w:b/>
        <w:sz w:val="48"/>
      </w:rPr>
      <w:tab/>
    </w:r>
    <w:r w:rsidRPr="00AE52BC">
      <w:tab/>
    </w:r>
    <w:r w:rsidRPr="00AE52B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6ACA4" w14:textId="77777777" w:rsidR="00AE52BC" w:rsidRPr="00AE52BC" w:rsidRDefault="00AE52BC" w:rsidP="00AE52B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190B54" w14:textId="77777777" w:rsidR="002F67B6" w:rsidRDefault="002F67B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1777622"/>
      <w:docPartObj>
        <w:docPartGallery w:val="Page Numbers (Bottom of Page)"/>
        <w:docPartUnique/>
      </w:docPartObj>
    </w:sdtPr>
    <w:sdtEndPr>
      <w:rPr>
        <w:noProof/>
        <w:sz w:val="24"/>
        <w:szCs w:val="24"/>
      </w:rPr>
    </w:sdtEndPr>
    <w:sdtContent>
      <w:p w14:paraId="3DBDE7DC" w14:textId="4AE637E8" w:rsidR="002F67B6" w:rsidRPr="002F67B6" w:rsidRDefault="002F67B6">
        <w:pPr>
          <w:pStyle w:val="Footer"/>
          <w:jc w:val="center"/>
          <w:rPr>
            <w:sz w:val="24"/>
            <w:szCs w:val="24"/>
          </w:rPr>
        </w:pPr>
        <w:r w:rsidRPr="002F67B6">
          <w:rPr>
            <w:sz w:val="24"/>
            <w:szCs w:val="24"/>
          </w:rPr>
          <w:fldChar w:fldCharType="begin"/>
        </w:r>
        <w:r w:rsidRPr="002F67B6">
          <w:rPr>
            <w:sz w:val="24"/>
            <w:szCs w:val="24"/>
          </w:rPr>
          <w:instrText xml:space="preserve"> PAGE   \* MERGEFORMAT </w:instrText>
        </w:r>
        <w:r w:rsidRPr="002F67B6">
          <w:rPr>
            <w:sz w:val="24"/>
            <w:szCs w:val="24"/>
          </w:rPr>
          <w:fldChar w:fldCharType="separate"/>
        </w:r>
        <w:r w:rsidR="00AE52BC">
          <w:rPr>
            <w:noProof/>
            <w:sz w:val="24"/>
            <w:szCs w:val="24"/>
          </w:rPr>
          <w:t>3</w:t>
        </w:r>
        <w:r w:rsidRPr="002F67B6">
          <w:rPr>
            <w:noProof/>
            <w:sz w:val="24"/>
            <w:szCs w:val="24"/>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6414098"/>
      <w:docPartObj>
        <w:docPartGallery w:val="Page Numbers (Bottom of Page)"/>
        <w:docPartUnique/>
      </w:docPartObj>
    </w:sdtPr>
    <w:sdtEndPr>
      <w:rPr>
        <w:noProof/>
      </w:rPr>
    </w:sdtEndPr>
    <w:sdtContent>
      <w:p w14:paraId="073E17FB" w14:textId="77777777" w:rsidR="002F67B6" w:rsidRDefault="002F67B6">
        <w:pPr>
          <w:pStyle w:val="Footer"/>
          <w:jc w:val="center"/>
        </w:pPr>
      </w:p>
      <w:p w14:paraId="742AB7F2" w14:textId="77777777" w:rsidR="002F67B6" w:rsidRDefault="002F67B6">
        <w:pPr>
          <w:pStyle w:val="Footer"/>
          <w:jc w:val="center"/>
        </w:pPr>
      </w:p>
      <w:p w14:paraId="25DFC5DA" w14:textId="77777777" w:rsidR="002F67B6" w:rsidRDefault="002F67B6">
        <w:pPr>
          <w:pStyle w:val="Footer"/>
          <w:jc w:val="center"/>
          <w:rPr>
            <w:noProof/>
          </w:rPr>
        </w:pPr>
        <w:r>
          <w:fldChar w:fldCharType="begin"/>
        </w:r>
        <w:r>
          <w:instrText xml:space="preserve"> PAGE   \* MERGEFORMAT </w:instrText>
        </w:r>
        <w:r>
          <w:fldChar w:fldCharType="separate"/>
        </w:r>
        <w:r>
          <w:rPr>
            <w:noProof/>
          </w:rPr>
          <w:t>3</w:t>
        </w:r>
        <w:r>
          <w:rPr>
            <w:noProof/>
          </w:rPr>
          <w:fldChar w:fldCharType="end"/>
        </w:r>
      </w:p>
    </w:sdtContent>
  </w:sdt>
  <w:p w14:paraId="14B60BFF" w14:textId="77777777" w:rsidR="002F67B6" w:rsidRDefault="002F67B6"/>
  <w:p w14:paraId="26F6FA46" w14:textId="77777777" w:rsidR="002F67B6" w:rsidRDefault="002F67B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DB4094" w14:textId="77777777" w:rsidR="00FF1D44" w:rsidRDefault="00FF1D44">
      <w:pPr>
        <w:spacing w:after="0"/>
      </w:pPr>
      <w:r>
        <w:separator/>
      </w:r>
    </w:p>
  </w:footnote>
  <w:footnote w:type="continuationSeparator" w:id="0">
    <w:p w14:paraId="7C521430" w14:textId="77777777" w:rsidR="00FF1D44" w:rsidRDefault="00FF1D44">
      <w:pPr>
        <w:spacing w:after="0"/>
      </w:pPr>
      <w:r>
        <w:continuationSeparator/>
      </w:r>
    </w:p>
  </w:footnote>
  <w:footnote w:id="1">
    <w:p w14:paraId="16782A0B" w14:textId="080208E1" w:rsidR="002F67B6" w:rsidRPr="00230876" w:rsidRDefault="002F67B6" w:rsidP="002F67B6">
      <w:pPr>
        <w:pStyle w:val="FootnoteText"/>
      </w:pPr>
      <w:r w:rsidRPr="00230876">
        <w:rPr>
          <w:rStyle w:val="FootnoteReference"/>
        </w:rPr>
        <w:footnoteRef/>
      </w:r>
      <w:r w:rsidR="000828BA">
        <w:t xml:space="preserve"> </w:t>
      </w:r>
      <w:r w:rsidR="000828BA">
        <w:tab/>
      </w:r>
      <w:r w:rsidRPr="00230876">
        <w:t xml:space="preserve">An overview of the institutional framework for all four pillars can be found </w:t>
      </w:r>
      <w:hyperlink r:id="rId1" w:history="1">
        <w:r w:rsidR="00080ADA" w:rsidRPr="00943FBD">
          <w:rPr>
            <w:rStyle w:val="Hyperlink"/>
            <w:lang w:val="en-US"/>
          </w:rPr>
          <w:t>here</w:t>
        </w:r>
      </w:hyperlink>
      <w:r w:rsidRPr="00651B68">
        <w:t>.</w:t>
      </w:r>
    </w:p>
  </w:footnote>
  <w:footnote w:id="2">
    <w:p w14:paraId="1AF1969B" w14:textId="77777777" w:rsidR="002F67B6" w:rsidRPr="00230876" w:rsidRDefault="002F67B6" w:rsidP="002F67B6">
      <w:pPr>
        <w:pStyle w:val="FootnoteText"/>
      </w:pPr>
      <w:r w:rsidRPr="00230876">
        <w:rPr>
          <w:rStyle w:val="FootnoteReference"/>
        </w:rPr>
        <w:footnoteRef/>
      </w:r>
      <w:r w:rsidRPr="00230876">
        <w:t xml:space="preserve"> </w:t>
      </w:r>
      <w:r w:rsidRPr="00230876">
        <w:tab/>
        <w:t xml:space="preserve">Figures </w:t>
      </w:r>
      <w:r>
        <w:t>48</w:t>
      </w:r>
      <w:r w:rsidRPr="00230876">
        <w:t xml:space="preserve"> and 5</w:t>
      </w:r>
      <w:r>
        <w:t>0</w:t>
      </w:r>
      <w:r w:rsidRPr="00230876">
        <w:t>, 202</w:t>
      </w:r>
      <w:r>
        <w:t>6</w:t>
      </w:r>
      <w:r w:rsidRPr="00230876">
        <w:t xml:space="preserve"> EU Justice Scoreboard</w:t>
      </w:r>
      <w:r>
        <w:t xml:space="preserve"> and</w:t>
      </w:r>
      <w:r w:rsidRPr="00230876">
        <w:t xml:space="preserve"> Figures </w:t>
      </w:r>
      <w:r>
        <w:t>51</w:t>
      </w:r>
      <w:r w:rsidRPr="00230876">
        <w:t xml:space="preserve"> and 5</w:t>
      </w:r>
      <w:r>
        <w:t>3</w:t>
      </w:r>
      <w:r w:rsidRPr="00230876">
        <w:t>, 202</w:t>
      </w:r>
      <w:r>
        <w:t>4</w:t>
      </w:r>
      <w:r w:rsidRPr="00230876">
        <w:t xml:space="preserve"> EU Justice Scoreboard. The level of perceived judicial independence is categorised as follows: very low (below 30% of respondents perceive judicial independence as fairly good and very good); low (between 30-39%), average (between 40-59%), high (between 60-75%), very high (above 75%).</w:t>
      </w:r>
    </w:p>
  </w:footnote>
  <w:footnote w:id="3">
    <w:p w14:paraId="412B6B09" w14:textId="77777777" w:rsidR="002F67B6" w:rsidRPr="00230876" w:rsidRDefault="002F67B6" w:rsidP="002F67B6">
      <w:pPr>
        <w:pStyle w:val="FootnoteText"/>
      </w:pPr>
      <w:r w:rsidRPr="00230876">
        <w:rPr>
          <w:rStyle w:val="FootnoteReference"/>
        </w:rPr>
        <w:footnoteRef/>
      </w:r>
      <w:r w:rsidRPr="00230876">
        <w:t xml:space="preserve"> </w:t>
      </w:r>
      <w:r w:rsidRPr="00230876">
        <w:tab/>
        <w:t>The 2025 Rule of Law Report recommended to Malta to “[t]ake forward the ongoing reform to involve the judiciary in the procedure for appointment of the Chief Justice, taking into account European standards on judicial appointments”. Some progress was previously assessed on this recommendation in 2025 and 2024, and no progress in 2023.</w:t>
      </w:r>
    </w:p>
  </w:footnote>
  <w:footnote w:id="4">
    <w:p w14:paraId="39B610FC" w14:textId="77777777" w:rsidR="002F67B6" w:rsidRPr="00230876" w:rsidRDefault="002F67B6" w:rsidP="002F67B6">
      <w:pPr>
        <w:pStyle w:val="FootnoteText"/>
      </w:pPr>
      <w:r w:rsidRPr="00230876">
        <w:rPr>
          <w:rStyle w:val="FootnoteReference"/>
        </w:rPr>
        <w:footnoteRef/>
      </w:r>
      <w:r w:rsidRPr="00230876">
        <w:t xml:space="preserve"> </w:t>
      </w:r>
      <w:r w:rsidRPr="00230876">
        <w:tab/>
        <w:t xml:space="preserve">House of Representatives (2025), Bill 134 - An Act to amend the Constitution of Malta, available </w:t>
      </w:r>
      <w:hyperlink r:id="rId2" w:history="1">
        <w:r w:rsidRPr="00230876">
          <w:rPr>
            <w:rStyle w:val="Hyperlink"/>
          </w:rPr>
          <w:t>here</w:t>
        </w:r>
      </w:hyperlink>
      <w:r w:rsidRPr="00230876">
        <w:t>.</w:t>
      </w:r>
      <w:r w:rsidRPr="00230876" w:rsidDel="00275827">
        <w:t xml:space="preserve"> </w:t>
      </w:r>
      <w:r w:rsidRPr="00230876" w:rsidDel="00275827">
        <w:rPr>
          <w:rStyle w:val="Bodytext1"/>
        </w:rPr>
        <w:t>In absence of cross-party support, the reform was not put to a vote.</w:t>
      </w:r>
    </w:p>
  </w:footnote>
  <w:footnote w:id="5">
    <w:p w14:paraId="18B66FC9" w14:textId="77777777" w:rsidR="002F67B6" w:rsidRPr="00230876" w:rsidRDefault="002F67B6" w:rsidP="002F67B6">
      <w:pPr>
        <w:pStyle w:val="FootnoteText"/>
      </w:pPr>
      <w:r w:rsidRPr="00230876">
        <w:rPr>
          <w:rStyle w:val="FootnoteReference"/>
        </w:rPr>
        <w:footnoteRef/>
      </w:r>
      <w:r w:rsidRPr="00230876">
        <w:t xml:space="preserve"> </w:t>
      </w:r>
      <w:r w:rsidRPr="00230876">
        <w:rPr>
          <w:rStyle w:val="FootnoteReference"/>
        </w:rPr>
        <w:tab/>
      </w:r>
      <w:r w:rsidRPr="00230876">
        <w:t>Stakeholders expressed concerns at what they considered a politicisation of the process risking in their view to undermine the perception of impartiality of the judiciary. Country visit Malta, Repubblika.</w:t>
      </w:r>
      <w:r w:rsidRPr="00230876">
        <w:rPr>
          <w:lang w:eastAsia="fr-FR"/>
        </w:rPr>
        <w:t xml:space="preserve"> </w:t>
      </w:r>
      <w:r w:rsidRPr="00230876">
        <w:t xml:space="preserve">Chamber of Advocates (2026a; 2026b); Repubblika (2026b; 2026c); Aditus and Daphne Foundation (2026a). </w:t>
      </w:r>
    </w:p>
  </w:footnote>
  <w:footnote w:id="6">
    <w:p w14:paraId="29EB3C80" w14:textId="5DB8BBF1" w:rsidR="002F67B6" w:rsidRPr="000132EC" w:rsidRDefault="002F67B6" w:rsidP="002F67B6">
      <w:pPr>
        <w:pStyle w:val="FootnoteText"/>
        <w:rPr>
          <w:lang w:val="en-IE"/>
        </w:rPr>
      </w:pPr>
      <w:r>
        <w:rPr>
          <w:rStyle w:val="FootnoteReference"/>
        </w:rPr>
        <w:footnoteRef/>
      </w:r>
      <w:r w:rsidR="000828BA">
        <w:t xml:space="preserve"> </w:t>
      </w:r>
      <w:r w:rsidR="000828BA">
        <w:tab/>
      </w:r>
      <w:r>
        <w:rPr>
          <w:lang w:val="en-IE"/>
        </w:rPr>
        <w:t>See the first paragraph above.</w:t>
      </w:r>
    </w:p>
  </w:footnote>
  <w:footnote w:id="7">
    <w:p w14:paraId="407CC31B" w14:textId="77777777" w:rsidR="002F67B6" w:rsidRPr="00230876" w:rsidRDefault="002F67B6" w:rsidP="002F67B6">
      <w:pPr>
        <w:pStyle w:val="FootnoteText"/>
      </w:pPr>
      <w:r w:rsidRPr="00230876">
        <w:rPr>
          <w:rStyle w:val="FootnoteReference"/>
        </w:rPr>
        <w:footnoteRef/>
      </w:r>
      <w:r w:rsidRPr="00230876">
        <w:t xml:space="preserve"> </w:t>
      </w:r>
      <w:r w:rsidRPr="00230876">
        <w:tab/>
        <w:t>The Chief Justice is the head of the judiciary, presides over the superior courts including the Constitutional Court, is the deputy chair of the Commission for the Administration of Justice (Malta’s judicial council) and plays a key role in safeguarding judicial independence and ensuring the proper administration of the courts.</w:t>
      </w:r>
      <w:r w:rsidRPr="00EF373F">
        <w:t xml:space="preserve"> </w:t>
      </w:r>
      <w:r w:rsidRPr="00230876">
        <w:t>The Venice Commission had suggested that the Chief Justice is elected by judges themselves, or by the judges of the supreme court</w:t>
      </w:r>
      <w:r>
        <w:t xml:space="preserve">s </w:t>
      </w:r>
      <w:r w:rsidRPr="00230876">
        <w:t>in case of prolonged stalemate in Parliament. Venice Commission (2018) paras. 41, 44; (2020</w:t>
      </w:r>
      <w:r>
        <w:t>b</w:t>
      </w:r>
      <w:r w:rsidRPr="00230876">
        <w:t>), para. 41 onwards; and (2020</w:t>
      </w:r>
      <w:r>
        <w:t>a</w:t>
      </w:r>
      <w:r w:rsidRPr="00230876">
        <w:t>), para. 41 onwards.</w:t>
      </w:r>
    </w:p>
  </w:footnote>
  <w:footnote w:id="8">
    <w:p w14:paraId="0D55BD07" w14:textId="77777777" w:rsidR="002F67B6" w:rsidRPr="00230876" w:rsidRDefault="002F67B6" w:rsidP="002F67B6">
      <w:pPr>
        <w:pStyle w:val="FootnoteText"/>
      </w:pPr>
      <w:r w:rsidRPr="00230876">
        <w:rPr>
          <w:rStyle w:val="FootnoteReference"/>
        </w:rPr>
        <w:footnoteRef/>
      </w:r>
      <w:r w:rsidRPr="00230876">
        <w:t xml:space="preserve"> </w:t>
      </w:r>
      <w:r w:rsidRPr="00230876">
        <w:tab/>
      </w:r>
      <w:r w:rsidRPr="00230876">
        <w:rPr>
          <w:rStyle w:val="Footnote1"/>
          <w:lang w:eastAsia="bg-BG" w:bidi="bg-BG"/>
        </w:rPr>
        <w:t>Act XVI of 2025.</w:t>
      </w:r>
    </w:p>
  </w:footnote>
  <w:footnote w:id="9">
    <w:p w14:paraId="2D415D55" w14:textId="77777777" w:rsidR="002F67B6" w:rsidRPr="00230876" w:rsidRDefault="002F67B6" w:rsidP="002F67B6">
      <w:pPr>
        <w:pStyle w:val="FootnoteText"/>
      </w:pPr>
      <w:r w:rsidRPr="00230876">
        <w:rPr>
          <w:rStyle w:val="FootnoteReference"/>
        </w:rPr>
        <w:footnoteRef/>
      </w:r>
      <w:r w:rsidR="000828BA">
        <w:t xml:space="preserve"> </w:t>
      </w:r>
      <w:r w:rsidR="000828BA">
        <w:tab/>
      </w:r>
      <w:r w:rsidRPr="00230876">
        <w:t>President of the Republic (2025).</w:t>
      </w:r>
    </w:p>
  </w:footnote>
  <w:footnote w:id="10">
    <w:p w14:paraId="3FA64AAA" w14:textId="2F1C6922" w:rsidR="002F67B6" w:rsidRPr="00230876" w:rsidRDefault="002F67B6" w:rsidP="002F67B6">
      <w:pPr>
        <w:pStyle w:val="Footnote10"/>
        <w:tabs>
          <w:tab w:val="left" w:pos="302"/>
        </w:tabs>
        <w:ind w:left="0" w:firstLine="0"/>
        <w:jc w:val="both"/>
        <w:rPr>
          <w:rStyle w:val="FootnoteReference"/>
        </w:rPr>
      </w:pPr>
      <w:r w:rsidRPr="00230876">
        <w:rPr>
          <w:rStyle w:val="FootnoteReference"/>
        </w:rPr>
        <w:footnoteRef/>
      </w:r>
      <w:r w:rsidR="000828BA">
        <w:t xml:space="preserve"> </w:t>
      </w:r>
      <w:r w:rsidR="000828BA">
        <w:tab/>
      </w:r>
      <w:r w:rsidR="00F0040E">
        <w:t xml:space="preserve"> </w:t>
      </w:r>
      <w:r w:rsidRPr="00230876">
        <w:rPr>
          <w:rStyle w:val="Footnote1"/>
        </w:rPr>
        <w:t xml:space="preserve">Repubblika </w:t>
      </w:r>
      <w:r w:rsidRPr="00230876">
        <w:rPr>
          <w:rStyle w:val="Footnote1"/>
          <w:lang w:eastAsia="bg-BG" w:bidi="bg-BG"/>
        </w:rPr>
        <w:t xml:space="preserve">(2026), </w:t>
      </w:r>
      <w:r w:rsidRPr="00230876">
        <w:rPr>
          <w:rStyle w:val="Footnote1"/>
        </w:rPr>
        <w:t>written input, p. 12</w:t>
      </w:r>
      <w:r>
        <w:rPr>
          <w:rStyle w:val="Footnote1"/>
        </w:rPr>
        <w:t>.</w:t>
      </w:r>
    </w:p>
  </w:footnote>
  <w:footnote w:id="11">
    <w:p w14:paraId="698B2BDB" w14:textId="0D01384C" w:rsidR="002F67B6" w:rsidRPr="00955C60" w:rsidRDefault="002F67B6" w:rsidP="002F67B6">
      <w:pPr>
        <w:pStyle w:val="FootnoteText"/>
      </w:pPr>
      <w:r w:rsidRPr="00230876">
        <w:rPr>
          <w:rStyle w:val="FootnoteReference"/>
        </w:rPr>
        <w:footnoteRef/>
      </w:r>
      <w:r w:rsidRPr="00230876">
        <w:t xml:space="preserve"> </w:t>
      </w:r>
      <w:r w:rsidRPr="00230876">
        <w:tab/>
      </w:r>
      <w:r w:rsidRPr="00230876">
        <w:rPr>
          <w:rStyle w:val="Footnote1"/>
        </w:rPr>
        <w:t xml:space="preserve">Aditus and Daphne Foundation </w:t>
      </w:r>
      <w:r w:rsidRPr="00230876">
        <w:rPr>
          <w:rStyle w:val="Footnote1"/>
          <w:lang w:eastAsia="bg-BG" w:bidi="bg-BG"/>
        </w:rPr>
        <w:t xml:space="preserve">(2026), </w:t>
      </w:r>
      <w:r w:rsidRPr="00230876">
        <w:rPr>
          <w:rStyle w:val="Footnote1"/>
        </w:rPr>
        <w:t>written input, p. 7-</w:t>
      </w:r>
      <w:r w:rsidRPr="00230876">
        <w:rPr>
          <w:rStyle w:val="Footnote1"/>
          <w:lang w:eastAsia="bg-BG" w:bidi="bg-BG"/>
        </w:rPr>
        <w:t xml:space="preserve">8. </w:t>
      </w:r>
      <w:r w:rsidRPr="00955C60">
        <w:rPr>
          <w:rStyle w:val="Footnote1"/>
        </w:rPr>
        <w:t xml:space="preserve">Repubblika </w:t>
      </w:r>
      <w:r w:rsidRPr="00955C60">
        <w:rPr>
          <w:rStyle w:val="Footnote1"/>
          <w:lang w:eastAsia="bg-BG" w:bidi="bg-BG"/>
        </w:rPr>
        <w:t xml:space="preserve">(2026), </w:t>
      </w:r>
      <w:r w:rsidRPr="00955C60">
        <w:rPr>
          <w:rStyle w:val="Footnote1"/>
        </w:rPr>
        <w:t>written input, pp. 10, 12</w:t>
      </w:r>
      <w:r w:rsidRPr="00955C60">
        <w:rPr>
          <w:rStyle w:val="Footnote1"/>
          <w:lang w:eastAsia="bg-BG" w:bidi="bg-BG"/>
        </w:rPr>
        <w:t>.</w:t>
      </w:r>
    </w:p>
  </w:footnote>
  <w:footnote w:id="12">
    <w:p w14:paraId="1B1E5112" w14:textId="4C431886" w:rsidR="002F67B6" w:rsidRPr="00955C60" w:rsidRDefault="002F67B6" w:rsidP="002F67B6">
      <w:pPr>
        <w:pStyle w:val="FootnoteText"/>
        <w:rPr>
          <w:rStyle w:val="FootnoteReference"/>
          <w:sz w:val="24"/>
          <w:lang w:val="en-IE"/>
        </w:rPr>
      </w:pPr>
      <w:r w:rsidRPr="00955C60">
        <w:rPr>
          <w:rStyle w:val="FootnoteReference"/>
          <w:lang w:val="en-IE"/>
        </w:rPr>
        <w:footnoteRef/>
      </w:r>
      <w:r w:rsidR="000828BA" w:rsidRPr="00955C60">
        <w:rPr>
          <w:lang w:val="en-IE"/>
        </w:rPr>
        <w:t xml:space="preserve"> </w:t>
      </w:r>
      <w:r w:rsidR="000828BA" w:rsidRPr="00955C60">
        <w:rPr>
          <w:lang w:val="en-IE"/>
        </w:rPr>
        <w:tab/>
      </w:r>
      <w:r w:rsidRPr="00955C60">
        <w:rPr>
          <w:rStyle w:val="FootnoteReference"/>
          <w:vertAlign w:val="baseline"/>
          <w:lang w:val="en-IE"/>
        </w:rPr>
        <w:t>In 2025, a magistrate was suspended from duty for one month following administrative breaches.</w:t>
      </w:r>
    </w:p>
  </w:footnote>
  <w:footnote w:id="13">
    <w:p w14:paraId="7518D137" w14:textId="61E4C1FE" w:rsidR="002F67B6" w:rsidRPr="00955C60" w:rsidRDefault="002F67B6" w:rsidP="002F67B6">
      <w:pPr>
        <w:pStyle w:val="FootnoteText"/>
        <w:rPr>
          <w:rStyle w:val="FootnoteReference"/>
          <w:sz w:val="24"/>
          <w:lang w:val="en-IE"/>
        </w:rPr>
      </w:pPr>
      <w:r w:rsidRPr="00955C60">
        <w:rPr>
          <w:rStyle w:val="FootnoteReference"/>
          <w:lang w:val="en-IE"/>
        </w:rPr>
        <w:footnoteRef/>
      </w:r>
      <w:r w:rsidR="000828BA" w:rsidRPr="00955C60">
        <w:rPr>
          <w:lang w:val="en-IE"/>
        </w:rPr>
        <w:t xml:space="preserve"> </w:t>
      </w:r>
      <w:r w:rsidR="000828BA" w:rsidRPr="00955C60">
        <w:rPr>
          <w:lang w:val="en-IE"/>
        </w:rPr>
        <w:tab/>
      </w:r>
      <w:r w:rsidRPr="00955C60">
        <w:rPr>
          <w:rStyle w:val="FootnoteReference"/>
          <w:vertAlign w:val="baseline"/>
          <w:lang w:val="en-IE"/>
        </w:rPr>
        <w:t>The names of the elected members of the Commission are not published and no regular activity reports are made public. Country visit Malta, Chamber of Advocates, Aditus Foundation, Repubblika.</w:t>
      </w:r>
    </w:p>
  </w:footnote>
  <w:footnote w:id="14">
    <w:p w14:paraId="541F153A" w14:textId="31EDB8F0" w:rsidR="002F67B6" w:rsidRPr="00811925" w:rsidRDefault="002F67B6" w:rsidP="002F67B6">
      <w:pPr>
        <w:pStyle w:val="FootnoteText"/>
        <w:rPr>
          <w:rStyle w:val="FootnoteReference"/>
          <w:lang w:val="en-IE"/>
        </w:rPr>
      </w:pPr>
      <w:r w:rsidRPr="00955C60">
        <w:rPr>
          <w:rStyle w:val="FootnoteReference"/>
          <w:lang w:val="en-IE"/>
        </w:rPr>
        <w:footnoteRef/>
      </w:r>
      <w:r w:rsidR="000828BA" w:rsidRPr="00955C60">
        <w:rPr>
          <w:lang w:val="en-IE"/>
        </w:rPr>
        <w:t xml:space="preserve"> </w:t>
      </w:r>
      <w:r w:rsidR="000828BA" w:rsidRPr="00955C60">
        <w:rPr>
          <w:lang w:val="en-IE"/>
        </w:rPr>
        <w:tab/>
      </w:r>
      <w:r w:rsidRPr="00955C60">
        <w:rPr>
          <w:rStyle w:val="FootnoteReference"/>
          <w:vertAlign w:val="baseline"/>
          <w:lang w:val="en-IE"/>
        </w:rPr>
        <w:t>Country visit Malta, Chief Justice.</w:t>
      </w:r>
      <w:r w:rsidR="00E23B58" w:rsidRPr="00955C60">
        <w:rPr>
          <w:lang w:val="en-IE"/>
        </w:rPr>
        <w:t xml:space="preserve"> Maltese Government (2026a), additional written input.</w:t>
      </w:r>
    </w:p>
  </w:footnote>
  <w:footnote w:id="15">
    <w:p w14:paraId="477E41CA" w14:textId="16CC1C88" w:rsidR="002F67B6" w:rsidRPr="00230876" w:rsidRDefault="002F67B6" w:rsidP="002F67B6">
      <w:pPr>
        <w:pStyle w:val="FootnoteText"/>
      </w:pPr>
      <w:r w:rsidRPr="00E86849">
        <w:rPr>
          <w:rStyle w:val="FootnoteReference"/>
        </w:rPr>
        <w:footnoteRef/>
      </w:r>
      <w:r w:rsidRPr="00E86849">
        <w:t xml:space="preserve"> </w:t>
      </w:r>
      <w:r w:rsidRPr="00E86849">
        <w:tab/>
      </w:r>
      <w:r w:rsidR="00BD78E6" w:rsidRPr="00E86849">
        <w:rPr>
          <w:lang w:eastAsia="fr-FR"/>
        </w:rPr>
        <w:t>T</w:t>
      </w:r>
      <w:r w:rsidR="00C73FFA" w:rsidRPr="00E86849">
        <w:rPr>
          <w:lang w:eastAsia="fr-FR"/>
        </w:rPr>
        <w:t>hese remarks referred to the</w:t>
      </w:r>
      <w:r w:rsidRPr="00E86849">
        <w:rPr>
          <w:lang w:eastAsia="fr-FR"/>
        </w:rPr>
        <w:t xml:space="preserve"> suitability</w:t>
      </w:r>
      <w:r w:rsidRPr="00230876">
        <w:rPr>
          <w:lang w:eastAsia="fr-FR"/>
        </w:rPr>
        <w:t xml:space="preserve"> of certain identifiable candidates during a procedure for judicial appointments. Stakeholders considered that these remarks risked exerting pressure on the Commission for the Administration of Justice, tasked with evaluating the candidates. </w:t>
      </w:r>
      <w:r w:rsidRPr="00230876">
        <w:t>A</w:t>
      </w:r>
      <w:r w:rsidRPr="00230876">
        <w:rPr>
          <w:rStyle w:val="Footnote1"/>
        </w:rPr>
        <w:t xml:space="preserve">ditus and Daphne Foundation </w:t>
      </w:r>
      <w:r w:rsidRPr="00230876">
        <w:rPr>
          <w:rStyle w:val="Footnote1"/>
          <w:lang w:eastAsia="bg-BG" w:bidi="bg-BG"/>
        </w:rPr>
        <w:t xml:space="preserve">(2026), </w:t>
      </w:r>
      <w:r w:rsidRPr="00230876">
        <w:rPr>
          <w:rStyle w:val="Footnote1"/>
        </w:rPr>
        <w:t>written input, p. 6</w:t>
      </w:r>
      <w:r w:rsidRPr="00230876">
        <w:rPr>
          <w:rStyle w:val="Footnote1"/>
          <w:lang w:eastAsia="bg-BG" w:bidi="bg-BG"/>
        </w:rPr>
        <w:t xml:space="preserve">. </w:t>
      </w:r>
      <w:r w:rsidRPr="00230876">
        <w:t>Repubblika (2026), written input, pp. 10-13, 20.</w:t>
      </w:r>
    </w:p>
  </w:footnote>
  <w:footnote w:id="16">
    <w:p w14:paraId="51AEB58D" w14:textId="77777777" w:rsidR="002F67B6" w:rsidRPr="00230876" w:rsidRDefault="002F67B6" w:rsidP="002F67B6">
      <w:pPr>
        <w:pStyle w:val="FootnoteText"/>
      </w:pPr>
      <w:r w:rsidRPr="00230876">
        <w:rPr>
          <w:rStyle w:val="FootnoteReference"/>
        </w:rPr>
        <w:footnoteRef/>
      </w:r>
      <w:r w:rsidRPr="00230876">
        <w:t xml:space="preserve"> </w:t>
      </w:r>
      <w:r w:rsidRPr="00230876">
        <w:tab/>
        <w:t>Committee of Ministers of the Council of Europe (2010), Recommendation CM/Rec(2010)12, para. 18.</w:t>
      </w:r>
    </w:p>
  </w:footnote>
  <w:footnote w:id="17">
    <w:p w14:paraId="3677D3E4" w14:textId="77777777" w:rsidR="002F67B6" w:rsidRPr="00230876" w:rsidRDefault="002F67B6" w:rsidP="002F67B6">
      <w:pPr>
        <w:pStyle w:val="FootnoteText"/>
      </w:pPr>
      <w:r w:rsidRPr="00230876">
        <w:rPr>
          <w:rStyle w:val="FootnoteReference"/>
        </w:rPr>
        <w:footnoteRef/>
      </w:r>
      <w:r w:rsidRPr="00230876">
        <w:t xml:space="preserve"> </w:t>
      </w:r>
      <w:r w:rsidRPr="00230876">
        <w:tab/>
        <w:t>OSCE/ODIHR (2025). Chamber of Advocates</w:t>
      </w:r>
      <w:r>
        <w:t xml:space="preserve"> (2026)</w:t>
      </w:r>
      <w:r w:rsidRPr="00230876">
        <w:t>, written input via CCBE, p. 177.</w:t>
      </w:r>
    </w:p>
  </w:footnote>
  <w:footnote w:id="18">
    <w:p w14:paraId="2E089A5C" w14:textId="77777777" w:rsidR="002F67B6" w:rsidRPr="00230876" w:rsidRDefault="002F67B6" w:rsidP="002F67B6">
      <w:pPr>
        <w:pStyle w:val="FootnoteText"/>
      </w:pPr>
      <w:r w:rsidRPr="00230876">
        <w:rPr>
          <w:rStyle w:val="FootnoteReference"/>
        </w:rPr>
        <w:footnoteRef/>
      </w:r>
      <w:r w:rsidRPr="00230876">
        <w:t xml:space="preserve"> </w:t>
      </w:r>
      <w:r w:rsidRPr="00230876">
        <w:tab/>
        <w:t xml:space="preserve">See the </w:t>
      </w:r>
      <w:r w:rsidRPr="00230876">
        <w:rPr>
          <w:rFonts w:eastAsia="Calibri"/>
        </w:rPr>
        <w:t>2025, 2024 and 2023 Rule of Law reports.</w:t>
      </w:r>
      <w:r w:rsidRPr="00230876">
        <w:t xml:space="preserve"> According to RRP milestone 6.4, ‘A review of the independence of specialised tribunals shall be carried out by the Maltese authorities, which shall include at least (i) an assessment of the guarantees of independence for appointments of members to said specialised tribunals, (ii) an assessment of the guarantees which provide for the tribunals' decisions to be reviewed by the ordinary courts of appeal, and (iii) measures to address the independence of specialised tribunals. The legal act(s) shall enter into force, taking into account the recommendations included in the opinion of the Council of Europe’s Venice Commission on both the draft legal act(s) and the review carried out by the Maltese authorities’. </w:t>
      </w:r>
      <w:r w:rsidRPr="00230876">
        <w:rPr>
          <w:lang w:val="en-IE"/>
        </w:rPr>
        <w:t>The assessment related to the topic of Milestone 6.4 in the Rule of Law report does not prejudge the assessment of the fulfilment of the measures in the framework of the Malta’s RRP.</w:t>
      </w:r>
    </w:p>
  </w:footnote>
  <w:footnote w:id="19">
    <w:p w14:paraId="1B168EAB" w14:textId="77777777" w:rsidR="002F67B6" w:rsidRPr="00230876" w:rsidRDefault="002F67B6" w:rsidP="002F67B6">
      <w:pPr>
        <w:pStyle w:val="FootnoteText"/>
      </w:pPr>
      <w:r w:rsidRPr="00230876">
        <w:rPr>
          <w:rStyle w:val="FootnoteReference"/>
        </w:rPr>
        <w:footnoteRef/>
      </w:r>
      <w:r w:rsidRPr="00230876">
        <w:rPr>
          <w:lang w:val="en-IE"/>
        </w:rPr>
        <w:t xml:space="preserve"> </w:t>
      </w:r>
      <w:r w:rsidRPr="00230876">
        <w:rPr>
          <w:lang w:val="en-IE"/>
        </w:rPr>
        <w:tab/>
        <w:t>Venice Commission (2020a), paras. 97-98; see also (2020b), paras. 97-98; and</w:t>
      </w:r>
      <w:r>
        <w:rPr>
          <w:lang w:val="en-IE"/>
        </w:rPr>
        <w:t xml:space="preserve"> </w:t>
      </w:r>
      <w:r w:rsidRPr="00230876">
        <w:rPr>
          <w:lang w:val="en-IE"/>
        </w:rPr>
        <w:t>(2018), paras. 80-83</w:t>
      </w:r>
      <w:r>
        <w:rPr>
          <w:lang w:val="en-IE"/>
        </w:rPr>
        <w:t>.</w:t>
      </w:r>
    </w:p>
  </w:footnote>
  <w:footnote w:id="20">
    <w:p w14:paraId="4B6C0864" w14:textId="77777777" w:rsidR="002F67B6" w:rsidRPr="00230876" w:rsidRDefault="002F67B6" w:rsidP="002F67B6">
      <w:pPr>
        <w:pStyle w:val="FootnoteText"/>
      </w:pPr>
      <w:r w:rsidRPr="00230876">
        <w:rPr>
          <w:rStyle w:val="FootnoteReference"/>
        </w:rPr>
        <w:footnoteRef/>
      </w:r>
      <w:r w:rsidRPr="00230876">
        <w:t xml:space="preserve"> </w:t>
      </w:r>
      <w:r w:rsidRPr="00230876">
        <w:tab/>
        <w:t xml:space="preserve">European Court of Human Rights, judgment of 22 October 2024, </w:t>
      </w:r>
      <w:r w:rsidRPr="00230876">
        <w:rPr>
          <w:i/>
          <w:iCs/>
        </w:rPr>
        <w:t>J.B. and Others v. Malta</w:t>
      </w:r>
      <w:r w:rsidRPr="00230876">
        <w:t xml:space="preserve">, </w:t>
      </w:r>
      <w:hyperlink r:id="rId3" w:anchor="{%22itemid%22:[%22001-237438%22]}" w:history="1">
        <w:r w:rsidRPr="00230876">
          <w:rPr>
            <w:rStyle w:val="Hyperlink"/>
          </w:rPr>
          <w:t>case 1766/23</w:t>
        </w:r>
      </w:hyperlink>
      <w:r w:rsidRPr="00230876">
        <w:t xml:space="preserve"> related to the Immigration Appeals Board.</w:t>
      </w:r>
    </w:p>
  </w:footnote>
  <w:footnote w:id="21">
    <w:p w14:paraId="0A8ACF1B" w14:textId="77777777" w:rsidR="002F67B6" w:rsidRPr="00E7192F" w:rsidRDefault="002F67B6" w:rsidP="002F67B6">
      <w:pPr>
        <w:pStyle w:val="FootnoteText"/>
      </w:pPr>
      <w:r w:rsidRPr="00230876">
        <w:rPr>
          <w:rStyle w:val="FootnoteReference"/>
        </w:rPr>
        <w:footnoteRef/>
      </w:r>
      <w:r w:rsidRPr="00230876">
        <w:t xml:space="preserve"> </w:t>
      </w:r>
      <w:r w:rsidRPr="00230876">
        <w:tab/>
        <w:t xml:space="preserve">Country visit Malta, Maltese </w:t>
      </w:r>
      <w:r w:rsidRPr="00E7192F">
        <w:t>Government.</w:t>
      </w:r>
    </w:p>
  </w:footnote>
  <w:footnote w:id="22">
    <w:p w14:paraId="52C5C915" w14:textId="38805801" w:rsidR="000C1D46" w:rsidRPr="00E7192F" w:rsidRDefault="000C1D46" w:rsidP="000C1D46">
      <w:pPr>
        <w:pStyle w:val="FootnoteText"/>
      </w:pPr>
      <w:r w:rsidRPr="00E7192F">
        <w:rPr>
          <w:rStyle w:val="FootnoteReference"/>
        </w:rPr>
        <w:footnoteRef/>
      </w:r>
      <w:r w:rsidRPr="00E7192F">
        <w:t xml:space="preserve"> </w:t>
      </w:r>
      <w:r w:rsidRPr="00E7192F">
        <w:tab/>
      </w:r>
      <w:r w:rsidR="002C24A1" w:rsidRPr="00E7192F">
        <w:t>Venice Commission (2026).</w:t>
      </w:r>
    </w:p>
  </w:footnote>
  <w:footnote w:id="23">
    <w:p w14:paraId="0A37EC12" w14:textId="0A5DBFAD" w:rsidR="002F67B6" w:rsidRPr="00E7192F" w:rsidRDefault="002F67B6" w:rsidP="002F67B6">
      <w:pPr>
        <w:pStyle w:val="FootnoteText"/>
      </w:pPr>
      <w:r w:rsidRPr="00E7192F">
        <w:rPr>
          <w:rStyle w:val="FootnoteReference"/>
        </w:rPr>
        <w:footnoteRef/>
      </w:r>
      <w:r w:rsidRPr="00E7192F">
        <w:t xml:space="preserve"> </w:t>
      </w:r>
      <w:r w:rsidRPr="00E7192F">
        <w:tab/>
        <w:t>Ministry for Justice (2025).</w:t>
      </w:r>
    </w:p>
  </w:footnote>
  <w:footnote w:id="24">
    <w:p w14:paraId="1E6816EE" w14:textId="77777777" w:rsidR="002F67B6" w:rsidRPr="00E7192F" w:rsidRDefault="002F67B6" w:rsidP="002F67B6">
      <w:pPr>
        <w:pStyle w:val="FootnoteText"/>
      </w:pPr>
      <w:r w:rsidRPr="00E7192F">
        <w:rPr>
          <w:rStyle w:val="FootnoteReference"/>
        </w:rPr>
        <w:footnoteRef/>
      </w:r>
      <w:r w:rsidR="000828BA" w:rsidRPr="00E7192F">
        <w:rPr>
          <w:rStyle w:val="FootnoteReference"/>
        </w:rPr>
        <w:t xml:space="preserve"> </w:t>
      </w:r>
      <w:r w:rsidR="000828BA" w:rsidRPr="00E7192F">
        <w:tab/>
      </w:r>
      <w:r w:rsidRPr="00E7192F">
        <w:t>598 employees, including 41 court attorneys and 51 judicial assistants. Chamber of Advocates (2026), written input via CCBE, p. 182.</w:t>
      </w:r>
    </w:p>
  </w:footnote>
  <w:footnote w:id="25">
    <w:p w14:paraId="1A445845" w14:textId="77777777" w:rsidR="002F67B6" w:rsidRPr="00E7192F" w:rsidRDefault="002F67B6" w:rsidP="002F67B6">
      <w:pPr>
        <w:pStyle w:val="FootnoteText"/>
      </w:pPr>
      <w:r w:rsidRPr="00E7192F">
        <w:rPr>
          <w:rStyle w:val="FootnoteReference"/>
        </w:rPr>
        <w:footnoteRef/>
      </w:r>
      <w:r w:rsidR="000828BA" w:rsidRPr="00E7192F">
        <w:rPr>
          <w:rStyle w:val="FootnoteReference"/>
        </w:rPr>
        <w:t xml:space="preserve"> </w:t>
      </w:r>
      <w:r w:rsidR="000828BA" w:rsidRPr="00E7192F">
        <w:tab/>
      </w:r>
      <w:r w:rsidRPr="00E7192F">
        <w:t>Chief Justice (2025). Repubblika (2026), written input, p. 15. IMF (2026), pp. 19-20.</w:t>
      </w:r>
    </w:p>
  </w:footnote>
  <w:footnote w:id="26">
    <w:p w14:paraId="4AFAFE32" w14:textId="77777777" w:rsidR="002F67B6" w:rsidRPr="00E7192F" w:rsidRDefault="002F67B6" w:rsidP="002F67B6">
      <w:pPr>
        <w:pStyle w:val="FootnoteText"/>
      </w:pPr>
      <w:r w:rsidRPr="00E7192F">
        <w:rPr>
          <w:rStyle w:val="FootnoteReference"/>
        </w:rPr>
        <w:footnoteRef/>
      </w:r>
      <w:r w:rsidRPr="00E7192F">
        <w:t xml:space="preserve"> </w:t>
      </w:r>
      <w:r w:rsidRPr="00E7192F">
        <w:tab/>
        <w:t>Country visit Malta, Malta Business Bureau and Malta Chamber of Commerce. IMF (2026), p. 19-20.</w:t>
      </w:r>
    </w:p>
  </w:footnote>
  <w:footnote w:id="27">
    <w:p w14:paraId="19F6A7AC" w14:textId="0C6C613A" w:rsidR="002F67B6" w:rsidRPr="00230876" w:rsidRDefault="002F67B6" w:rsidP="002F67B6">
      <w:pPr>
        <w:pStyle w:val="FootnoteText"/>
      </w:pPr>
      <w:r w:rsidRPr="00E7192F">
        <w:rPr>
          <w:rStyle w:val="FootnoteReference"/>
        </w:rPr>
        <w:footnoteRef/>
      </w:r>
      <w:r w:rsidRPr="00E7192F">
        <w:t xml:space="preserve"> </w:t>
      </w:r>
      <w:r w:rsidRPr="00E7192F">
        <w:tab/>
      </w:r>
      <w:r w:rsidRPr="00E7192F">
        <w:rPr>
          <w:rStyle w:val="Footnote1"/>
          <w:lang w:eastAsia="bg-BG" w:bidi="bg-BG"/>
        </w:rPr>
        <w:t xml:space="preserve">From July 2025 till April 2026, two judges retired and one magistrate </w:t>
      </w:r>
      <w:r w:rsidRPr="00E7192F">
        <w:rPr>
          <w:lang w:eastAsia="bg-BG" w:bidi="bg-BG"/>
        </w:rPr>
        <w:t>resigned</w:t>
      </w:r>
      <w:r w:rsidRPr="00E7192F">
        <w:t>, while six new members joined the judiciary</w:t>
      </w:r>
      <w:r w:rsidRPr="00E7192F">
        <w:rPr>
          <w:rStyle w:val="Footnote1"/>
          <w:lang w:eastAsia="bg-BG" w:bidi="bg-BG"/>
        </w:rPr>
        <w:t>. A call was issued in April 2026</w:t>
      </w:r>
      <w:r w:rsidR="00622D30" w:rsidRPr="00E7192F">
        <w:rPr>
          <w:rStyle w:val="Footnote1"/>
          <w:lang w:eastAsia="bg-BG" w:bidi="bg-BG"/>
        </w:rPr>
        <w:t>, and two more magistrates were appointed in June</w:t>
      </w:r>
      <w:r w:rsidRPr="00E7192F">
        <w:rPr>
          <w:rStyle w:val="Footnote1"/>
          <w:lang w:eastAsia="bg-BG" w:bidi="bg-BG"/>
        </w:rPr>
        <w:t>.</w:t>
      </w:r>
    </w:p>
  </w:footnote>
  <w:footnote w:id="28">
    <w:p w14:paraId="268B2D5B" w14:textId="77777777" w:rsidR="002F67B6" w:rsidRPr="00230876" w:rsidRDefault="002F67B6" w:rsidP="002F67B6">
      <w:pPr>
        <w:pStyle w:val="FootnoteText"/>
      </w:pPr>
      <w:r w:rsidRPr="00230876">
        <w:rPr>
          <w:rStyle w:val="FootnoteReference"/>
        </w:rPr>
        <w:footnoteRef/>
      </w:r>
      <w:r w:rsidRPr="00230876">
        <w:t xml:space="preserve"> </w:t>
      </w:r>
      <w:r w:rsidRPr="00230876">
        <w:tab/>
        <w:t>In 202</w:t>
      </w:r>
      <w:r>
        <w:t>4</w:t>
      </w:r>
      <w:r w:rsidRPr="00230876">
        <w:t xml:space="preserve">, Malta </w:t>
      </w:r>
      <w:r w:rsidRPr="009971DC">
        <w:t>had 9.4</w:t>
      </w:r>
      <w:r w:rsidRPr="00230876">
        <w:t xml:space="preserve"> judges per 100</w:t>
      </w:r>
      <w:r>
        <w:t> </w:t>
      </w:r>
      <w:r w:rsidRPr="00230876">
        <w:t>000 inhabitants</w:t>
      </w:r>
      <w:r>
        <w:t>,</w:t>
      </w:r>
      <w:r w:rsidRPr="00230876">
        <w:t xml:space="preserve"> the third lowest </w:t>
      </w:r>
      <w:r>
        <w:t>rate</w:t>
      </w:r>
      <w:r w:rsidRPr="00230876">
        <w:t xml:space="preserve"> in the EU. </w:t>
      </w:r>
      <w:r>
        <w:rPr>
          <w:rStyle w:val="Footnote1"/>
        </w:rPr>
        <w:t xml:space="preserve">By comparison, in 2024 Malta had 328.8 lawyers per </w:t>
      </w:r>
      <w:r w:rsidRPr="00230876">
        <w:t>100</w:t>
      </w:r>
      <w:r>
        <w:t> </w:t>
      </w:r>
      <w:r w:rsidRPr="00230876">
        <w:t>000</w:t>
      </w:r>
      <w:r>
        <w:t xml:space="preserve"> inhabitants, one of the highest rates in the EU.</w:t>
      </w:r>
      <w:r w:rsidRPr="00172C9D">
        <w:t xml:space="preserve"> </w:t>
      </w:r>
      <w:r w:rsidRPr="00230876">
        <w:t>Figure</w:t>
      </w:r>
      <w:r>
        <w:t>s</w:t>
      </w:r>
      <w:r w:rsidRPr="00230876">
        <w:t xml:space="preserve"> </w:t>
      </w:r>
      <w:r w:rsidRPr="00AC2255">
        <w:t>36</w:t>
      </w:r>
      <w:r>
        <w:t xml:space="preserve"> and 38</w:t>
      </w:r>
      <w:r w:rsidRPr="00AC2255">
        <w:t>, 202</w:t>
      </w:r>
      <w:r w:rsidRPr="000132EC">
        <w:t>6</w:t>
      </w:r>
      <w:r w:rsidRPr="00230876">
        <w:t xml:space="preserve"> EU Justice Scoreboard.</w:t>
      </w:r>
      <w:r w:rsidRPr="00230876">
        <w:rPr>
          <w:rStyle w:val="CrossReference"/>
          <w:lang w:eastAsia="bg-BG" w:bidi="bg-BG"/>
        </w:rPr>
        <w:t xml:space="preserve"> </w:t>
      </w:r>
      <w:r w:rsidRPr="00230876">
        <w:rPr>
          <w:rStyle w:val="Footnote1"/>
          <w:lang w:eastAsia="bg-BG" w:bidi="bg-BG"/>
        </w:rPr>
        <w:t xml:space="preserve">By </w:t>
      </w:r>
      <w:r>
        <w:rPr>
          <w:rStyle w:val="Footnote1"/>
          <w:lang w:eastAsia="bg-BG" w:bidi="bg-BG"/>
        </w:rPr>
        <w:t>May</w:t>
      </w:r>
      <w:r w:rsidRPr="00230876">
        <w:rPr>
          <w:rStyle w:val="Footnote1"/>
          <w:lang w:eastAsia="bg-BG" w:bidi="bg-BG"/>
        </w:rPr>
        <w:t xml:space="preserve"> 2026, </w:t>
      </w:r>
      <w:r w:rsidRPr="00230876">
        <w:rPr>
          <w:rStyle w:val="Footnote1"/>
        </w:rPr>
        <w:t xml:space="preserve">Malta had </w:t>
      </w:r>
      <w:r w:rsidRPr="00230876">
        <w:rPr>
          <w:rStyle w:val="Footnote1"/>
          <w:lang w:eastAsia="bg-BG" w:bidi="bg-BG"/>
        </w:rPr>
        <w:t xml:space="preserve">61 </w:t>
      </w:r>
      <w:r w:rsidRPr="00230876">
        <w:rPr>
          <w:rStyle w:val="Footnote1"/>
        </w:rPr>
        <w:t>judges and magistrates, i.e. some 11 per 100</w:t>
      </w:r>
      <w:r>
        <w:rPr>
          <w:rStyle w:val="Footnote1"/>
        </w:rPr>
        <w:t> </w:t>
      </w:r>
      <w:r w:rsidRPr="00230876">
        <w:rPr>
          <w:rStyle w:val="Footnote1"/>
        </w:rPr>
        <w:t>000.</w:t>
      </w:r>
    </w:p>
  </w:footnote>
  <w:footnote w:id="29">
    <w:p w14:paraId="4457B48E" w14:textId="024B6F71" w:rsidR="002F67B6" w:rsidRPr="00230876" w:rsidRDefault="002F67B6" w:rsidP="002F67B6">
      <w:pPr>
        <w:pStyle w:val="FootnoteText"/>
      </w:pPr>
      <w:r w:rsidRPr="00230876">
        <w:rPr>
          <w:rStyle w:val="FootnoteReference"/>
        </w:rPr>
        <w:footnoteRef/>
      </w:r>
      <w:r w:rsidRPr="00230876">
        <w:t xml:space="preserve"> </w:t>
      </w:r>
      <w:r w:rsidRPr="00230876">
        <w:tab/>
        <w:t>Chief Justice (2025).</w:t>
      </w:r>
    </w:p>
  </w:footnote>
  <w:footnote w:id="30">
    <w:p w14:paraId="73B683C6" w14:textId="29FDBAB8" w:rsidR="002F67B6" w:rsidRPr="00230876" w:rsidRDefault="002F67B6" w:rsidP="002F67B6">
      <w:pPr>
        <w:pStyle w:val="FootnoteText"/>
      </w:pPr>
      <w:r w:rsidRPr="00230876">
        <w:rPr>
          <w:rStyle w:val="FootnoteReference"/>
        </w:rPr>
        <w:footnoteRef/>
      </w:r>
      <w:r w:rsidRPr="00230876">
        <w:t xml:space="preserve"> </w:t>
      </w:r>
      <w:r w:rsidRPr="00230876">
        <w:tab/>
        <w:t>Country visit Malta, Attorney General</w:t>
      </w:r>
      <w:r>
        <w:t>, Maltese Government</w:t>
      </w:r>
      <w:r w:rsidRPr="00230876">
        <w:t>.</w:t>
      </w:r>
    </w:p>
  </w:footnote>
  <w:footnote w:id="31">
    <w:p w14:paraId="3BEA3B1E" w14:textId="152BFFF8" w:rsidR="002F67B6" w:rsidRPr="00230876" w:rsidRDefault="002F67B6" w:rsidP="002F67B6">
      <w:pPr>
        <w:pStyle w:val="FootnoteText"/>
      </w:pPr>
      <w:r w:rsidRPr="00A715DC">
        <w:rPr>
          <w:vertAlign w:val="superscript"/>
        </w:rPr>
        <w:footnoteRef/>
      </w:r>
      <w:r w:rsidR="000828BA">
        <w:rPr>
          <w:vertAlign w:val="superscript"/>
        </w:rPr>
        <w:t xml:space="preserve"> </w:t>
      </w:r>
      <w:r w:rsidR="000828BA">
        <w:tab/>
      </w:r>
      <w:r>
        <w:t>I</w:t>
      </w:r>
      <w:r w:rsidRPr="00A715DC">
        <w:t>n 2025</w:t>
      </w:r>
      <w:r>
        <w:t xml:space="preserve">, </w:t>
      </w:r>
      <w:r w:rsidRPr="00A715DC">
        <w:t xml:space="preserve">18 jury trials were held, compared to 8 on average in previous years. </w:t>
      </w:r>
      <w:r w:rsidRPr="00230876">
        <w:t>Ministry for Justice (2025).</w:t>
      </w:r>
    </w:p>
  </w:footnote>
  <w:footnote w:id="32">
    <w:p w14:paraId="23EAAEDD" w14:textId="617CCBB7" w:rsidR="002F67B6" w:rsidRPr="00230876" w:rsidRDefault="002F67B6" w:rsidP="002F67B6">
      <w:pPr>
        <w:pStyle w:val="FootnoteText"/>
      </w:pPr>
      <w:r w:rsidRPr="00A715DC">
        <w:rPr>
          <w:vertAlign w:val="superscript"/>
        </w:rPr>
        <w:footnoteRef/>
      </w:r>
      <w:r w:rsidR="000828BA">
        <w:rPr>
          <w:vertAlign w:val="superscript"/>
        </w:rPr>
        <w:t xml:space="preserve"> </w:t>
      </w:r>
      <w:r w:rsidR="000828BA">
        <w:tab/>
      </w:r>
      <w:r w:rsidRPr="00F25A46">
        <w:t>Chief Justice (2025)</w:t>
      </w:r>
      <w:r w:rsidRPr="00230876">
        <w:t>.</w:t>
      </w:r>
    </w:p>
  </w:footnote>
  <w:footnote w:id="33">
    <w:p w14:paraId="7D431A44" w14:textId="34DA9555" w:rsidR="002F67B6" w:rsidRPr="00230876" w:rsidRDefault="002F67B6" w:rsidP="002F67B6">
      <w:pPr>
        <w:pStyle w:val="FootnoteText"/>
      </w:pPr>
      <w:r w:rsidRPr="00230876">
        <w:rPr>
          <w:rStyle w:val="FootnoteReference"/>
        </w:rPr>
        <w:footnoteRef/>
      </w:r>
      <w:r w:rsidRPr="00230876">
        <w:t xml:space="preserve"> </w:t>
      </w:r>
      <w:r w:rsidRPr="00230876">
        <w:tab/>
        <w:t>Country visit Malta, Attorney General</w:t>
      </w:r>
      <w:r w:rsidRPr="001A21D6">
        <w:t xml:space="preserve">. </w:t>
      </w:r>
    </w:p>
  </w:footnote>
  <w:footnote w:id="34">
    <w:p w14:paraId="12539592" w14:textId="77777777" w:rsidR="002F67B6" w:rsidRPr="00230876" w:rsidRDefault="002F67B6" w:rsidP="002F67B6">
      <w:pPr>
        <w:pStyle w:val="FootnoteText"/>
      </w:pPr>
      <w:r w:rsidRPr="00230876">
        <w:rPr>
          <w:rStyle w:val="FootnoteReference"/>
        </w:rPr>
        <w:footnoteRef/>
      </w:r>
      <w:r w:rsidRPr="00230876">
        <w:t xml:space="preserve"> </w:t>
      </w:r>
      <w:r w:rsidRPr="00230876">
        <w:tab/>
        <w:t xml:space="preserve">The Attorney General </w:t>
      </w:r>
      <w:r>
        <w:t>employed</w:t>
      </w:r>
      <w:r w:rsidRPr="00230876">
        <w:t xml:space="preserve"> 77 prosecutors by March 2026. Country visit Malta, Attorney General.</w:t>
      </w:r>
    </w:p>
  </w:footnote>
  <w:footnote w:id="35">
    <w:p w14:paraId="2B9DC70D" w14:textId="636FC511" w:rsidR="002F67B6" w:rsidRPr="00230876" w:rsidRDefault="002F67B6" w:rsidP="002F67B6">
      <w:pPr>
        <w:pStyle w:val="FootnoteText"/>
      </w:pPr>
      <w:r w:rsidRPr="00230876">
        <w:rPr>
          <w:rStyle w:val="FootnoteReference"/>
        </w:rPr>
        <w:footnoteRef/>
      </w:r>
      <w:r w:rsidRPr="00230876">
        <w:t xml:space="preserve"> </w:t>
      </w:r>
      <w:r w:rsidRPr="00230876">
        <w:tab/>
        <w:t>Country visit Malta, Attorney General.</w:t>
      </w:r>
    </w:p>
  </w:footnote>
  <w:footnote w:id="36">
    <w:p w14:paraId="5EE9FC5C" w14:textId="797A96FF" w:rsidR="002F67B6" w:rsidRPr="00230876" w:rsidRDefault="002F67B6" w:rsidP="002F67B6">
      <w:pPr>
        <w:pStyle w:val="FootnoteText"/>
      </w:pPr>
      <w:r w:rsidRPr="00230876">
        <w:rPr>
          <w:rStyle w:val="FootnoteReference"/>
        </w:rPr>
        <w:footnoteRef/>
      </w:r>
      <w:r w:rsidRPr="00230876">
        <w:t xml:space="preserve"> </w:t>
      </w:r>
      <w:r w:rsidRPr="00230876">
        <w:tab/>
        <w:t>Country visit Malta, Attorney General.</w:t>
      </w:r>
    </w:p>
  </w:footnote>
  <w:footnote w:id="37">
    <w:p w14:paraId="51834FEE" w14:textId="77777777" w:rsidR="002F67B6" w:rsidRPr="00230876" w:rsidRDefault="002F67B6" w:rsidP="002F67B6">
      <w:pPr>
        <w:pStyle w:val="FootnoteText"/>
      </w:pPr>
      <w:r w:rsidRPr="00230876">
        <w:rPr>
          <w:rStyle w:val="FootnoteReference"/>
        </w:rPr>
        <w:footnoteRef/>
      </w:r>
      <w:r w:rsidRPr="00230876">
        <w:t xml:space="preserve"> </w:t>
      </w:r>
      <w:r w:rsidRPr="00230876">
        <w:tab/>
      </w:r>
      <w:r w:rsidRPr="00230876">
        <w:rPr>
          <w:szCs w:val="22"/>
          <w:lang w:eastAsia="fr-FR"/>
        </w:rPr>
        <w:t xml:space="preserve">An independent study </w:t>
      </w:r>
      <w:r w:rsidRPr="00230876">
        <w:t xml:space="preserve">pursuant to RRP milestone 6.5 </w:t>
      </w:r>
      <w:r w:rsidRPr="00230876">
        <w:rPr>
          <w:rStyle w:val="Bodytext1"/>
        </w:rPr>
        <w:t xml:space="preserve">recommended to prioritise </w:t>
      </w:r>
      <w:r w:rsidRPr="00230876">
        <w:t xml:space="preserve">the transfer of non-summary offences to </w:t>
      </w:r>
      <w:r w:rsidRPr="00230876">
        <w:rPr>
          <w:rStyle w:val="Bodytext1"/>
        </w:rPr>
        <w:t>the Attorney General’s office, which should be absorbed by October 2027. Before t</w:t>
      </w:r>
      <w:r w:rsidRPr="00230876">
        <w:t>he transfer of summary cases, the Attorney General’s office should take measures to prepare for the increase in workload</w:t>
      </w:r>
      <w:r w:rsidRPr="00230876">
        <w:rPr>
          <w:rStyle w:val="Bodytext1"/>
        </w:rPr>
        <w:t xml:space="preserve">. </w:t>
      </w:r>
      <w:r w:rsidRPr="00230876">
        <w:t xml:space="preserve">Fieldfisher (2025). </w:t>
      </w:r>
      <w:r w:rsidRPr="00230876">
        <w:rPr>
          <w:lang w:val="en-IE"/>
        </w:rPr>
        <w:t>The assessment related to the topic of Milestone 6.5 in the Rule of Law report does not prejudge the assessment of the fulfilment of the measures in the framework of the Malta’s RRP.</w:t>
      </w:r>
    </w:p>
  </w:footnote>
  <w:footnote w:id="38">
    <w:p w14:paraId="359E36A0" w14:textId="527365A8" w:rsidR="002F67B6" w:rsidRPr="00230876" w:rsidRDefault="002F67B6" w:rsidP="002F67B6">
      <w:pPr>
        <w:pStyle w:val="FootnoteText"/>
      </w:pPr>
      <w:r w:rsidRPr="00230876">
        <w:rPr>
          <w:rStyle w:val="FootnoteReference"/>
        </w:rPr>
        <w:footnoteRef/>
      </w:r>
      <w:r w:rsidRPr="00230876">
        <w:t xml:space="preserve"> </w:t>
      </w:r>
      <w:r w:rsidRPr="00230876">
        <w:tab/>
        <w:t>Country visit Malta, Attorney General, Maltese Government.</w:t>
      </w:r>
    </w:p>
  </w:footnote>
  <w:footnote w:id="39">
    <w:p w14:paraId="11A277D0" w14:textId="77777777" w:rsidR="002F67B6" w:rsidRPr="00230876" w:rsidRDefault="002F67B6" w:rsidP="002F67B6">
      <w:pPr>
        <w:pStyle w:val="FootnoteText"/>
      </w:pPr>
      <w:r w:rsidRPr="00160856">
        <w:rPr>
          <w:vertAlign w:val="superscript"/>
        </w:rPr>
        <w:footnoteRef/>
      </w:r>
      <w:r w:rsidR="000828BA">
        <w:rPr>
          <w:vertAlign w:val="superscript"/>
        </w:rPr>
        <w:t xml:space="preserve"> </w:t>
      </w:r>
      <w:r w:rsidR="000828BA">
        <w:tab/>
      </w:r>
      <w:r w:rsidRPr="00230876">
        <w:t>Chamber of Advocates (2026), written input via CCBE, pp.178,</w:t>
      </w:r>
      <w:r>
        <w:t xml:space="preserve"> </w:t>
      </w:r>
      <w:r w:rsidRPr="00230876">
        <w:t>182. Repubblika (2026), written input, p.13.</w:t>
      </w:r>
    </w:p>
  </w:footnote>
  <w:footnote w:id="40">
    <w:p w14:paraId="20DB1851" w14:textId="77777777" w:rsidR="002F67B6" w:rsidRPr="00230876" w:rsidRDefault="002F67B6" w:rsidP="002F67B6">
      <w:pPr>
        <w:pStyle w:val="FootnoteText"/>
      </w:pPr>
      <w:r w:rsidRPr="00160856">
        <w:rPr>
          <w:vertAlign w:val="superscript"/>
        </w:rPr>
        <w:footnoteRef/>
      </w:r>
      <w:r w:rsidR="000828BA">
        <w:rPr>
          <w:vertAlign w:val="superscript"/>
        </w:rPr>
        <w:t xml:space="preserve"> </w:t>
      </w:r>
      <w:r w:rsidR="000828BA">
        <w:tab/>
      </w:r>
      <w:r w:rsidRPr="00230876">
        <w:t>Council of Europe (2025). Chamber of Advocates (2026), written input via CCBE, p. 182.</w:t>
      </w:r>
    </w:p>
  </w:footnote>
  <w:footnote w:id="41">
    <w:p w14:paraId="1040A648" w14:textId="77777777" w:rsidR="002F67B6" w:rsidRPr="00230876" w:rsidRDefault="002F67B6" w:rsidP="002F67B6">
      <w:pPr>
        <w:pStyle w:val="FootnoteText"/>
      </w:pPr>
      <w:r w:rsidRPr="00160856">
        <w:rPr>
          <w:vertAlign w:val="superscript"/>
        </w:rPr>
        <w:footnoteRef/>
      </w:r>
      <w:r w:rsidR="000828BA">
        <w:rPr>
          <w:vertAlign w:val="superscript"/>
        </w:rPr>
        <w:t xml:space="preserve"> </w:t>
      </w:r>
      <w:r w:rsidR="000828BA">
        <w:tab/>
      </w:r>
      <w:r w:rsidRPr="00230876">
        <w:t>EUR 70 000 in the 2026 budget. Ministry for Finance (2026).</w:t>
      </w:r>
      <w:r>
        <w:t xml:space="preserve"> Repubblika (2026), written input, p. 16.</w:t>
      </w:r>
    </w:p>
  </w:footnote>
  <w:footnote w:id="42">
    <w:p w14:paraId="1B37DD3E" w14:textId="5A1385AE" w:rsidR="002F67B6" w:rsidRPr="00230876" w:rsidRDefault="002F67B6" w:rsidP="002F67B6">
      <w:pPr>
        <w:pStyle w:val="FootnoteText"/>
      </w:pPr>
      <w:r w:rsidRPr="00230876">
        <w:rPr>
          <w:rStyle w:val="FootnoteReference"/>
        </w:rPr>
        <w:footnoteRef/>
      </w:r>
      <w:r w:rsidRPr="00230876">
        <w:t xml:space="preserve"> </w:t>
      </w:r>
      <w:r w:rsidRPr="00230876">
        <w:tab/>
        <w:t>Country visit Malta, Maltese Government.</w:t>
      </w:r>
      <w:r w:rsidRPr="00230876">
        <w:rPr>
          <w:rStyle w:val="Bodytext1"/>
          <w:lang w:eastAsia="bg-BG" w:bidi="bg-BG"/>
        </w:rPr>
        <w:t xml:space="preserve"> The CMS tender for the State Advocate was awarded in </w:t>
      </w:r>
      <w:r w:rsidRPr="00230876">
        <w:rPr>
          <w:lang w:eastAsia="bg-BG" w:bidi="bg-BG"/>
        </w:rPr>
        <w:t>February 2026</w:t>
      </w:r>
      <w:r w:rsidRPr="00230876">
        <w:rPr>
          <w:rStyle w:val="Bodytext1"/>
          <w:lang w:eastAsia="bg-BG" w:bidi="bg-BG"/>
        </w:rPr>
        <w:t xml:space="preserve">. The CMS tender for the </w:t>
      </w:r>
      <w:r w:rsidR="00BE7F02">
        <w:rPr>
          <w:rStyle w:val="Bodytext1"/>
          <w:lang w:eastAsia="bg-BG" w:bidi="bg-BG"/>
        </w:rPr>
        <w:t>Office of the Attorney</w:t>
      </w:r>
      <w:r w:rsidR="00BE7F02" w:rsidRPr="00230876">
        <w:rPr>
          <w:rStyle w:val="Bodytext1"/>
          <w:lang w:eastAsia="bg-BG" w:bidi="bg-BG"/>
        </w:rPr>
        <w:t xml:space="preserve"> </w:t>
      </w:r>
      <w:r w:rsidRPr="00230876">
        <w:rPr>
          <w:rStyle w:val="Bodytext1"/>
          <w:lang w:eastAsia="bg-BG" w:bidi="bg-BG"/>
        </w:rPr>
        <w:t xml:space="preserve">General was </w:t>
      </w:r>
      <w:r w:rsidR="00BE7F02">
        <w:rPr>
          <w:rStyle w:val="Bodytext1"/>
          <w:lang w:eastAsia="bg-BG" w:bidi="bg-BG"/>
        </w:rPr>
        <w:t>republished</w:t>
      </w:r>
      <w:r w:rsidR="00BE7F02" w:rsidRPr="00230876">
        <w:rPr>
          <w:rStyle w:val="Bodytext1"/>
          <w:lang w:eastAsia="bg-BG" w:bidi="bg-BG"/>
        </w:rPr>
        <w:t xml:space="preserve"> </w:t>
      </w:r>
      <w:r w:rsidRPr="00230876">
        <w:rPr>
          <w:rStyle w:val="Bodytext1"/>
          <w:lang w:eastAsia="bg-BG" w:bidi="bg-BG"/>
        </w:rPr>
        <w:t xml:space="preserve">in </w:t>
      </w:r>
      <w:r w:rsidR="00BE7F02">
        <w:rPr>
          <w:lang w:eastAsia="bg-BG" w:bidi="bg-BG"/>
        </w:rPr>
        <w:t>May</w:t>
      </w:r>
      <w:r w:rsidR="00BE7F02" w:rsidRPr="00230876">
        <w:rPr>
          <w:lang w:eastAsia="bg-BG" w:bidi="bg-BG"/>
        </w:rPr>
        <w:t xml:space="preserve"> </w:t>
      </w:r>
      <w:r w:rsidRPr="00230876">
        <w:rPr>
          <w:lang w:eastAsia="bg-BG" w:bidi="bg-BG"/>
        </w:rPr>
        <w:t>2026</w:t>
      </w:r>
      <w:r w:rsidRPr="00230876">
        <w:rPr>
          <w:rStyle w:val="Bodytext1"/>
          <w:lang w:eastAsia="bg-BG" w:bidi="bg-BG"/>
        </w:rPr>
        <w:t>.</w:t>
      </w:r>
    </w:p>
  </w:footnote>
  <w:footnote w:id="43">
    <w:p w14:paraId="492F5922" w14:textId="77777777" w:rsidR="002F67B6" w:rsidRPr="00230876" w:rsidRDefault="002F67B6" w:rsidP="002F67B6">
      <w:pPr>
        <w:pStyle w:val="FootnoteText"/>
      </w:pPr>
      <w:r w:rsidRPr="00230876">
        <w:rPr>
          <w:rStyle w:val="FootnoteReference"/>
        </w:rPr>
        <w:footnoteRef/>
      </w:r>
      <w:r w:rsidRPr="00230876">
        <w:t xml:space="preserve"> </w:t>
      </w:r>
      <w:r w:rsidRPr="00230876">
        <w:tab/>
        <w:t>The digital justice strategy is partly financed by the RRF.</w:t>
      </w:r>
    </w:p>
  </w:footnote>
  <w:footnote w:id="44">
    <w:p w14:paraId="387B3D60" w14:textId="1C919102" w:rsidR="002F67B6" w:rsidRPr="00230876" w:rsidRDefault="002F67B6" w:rsidP="002F67B6">
      <w:pPr>
        <w:pStyle w:val="FootnoteText"/>
      </w:pPr>
      <w:r w:rsidRPr="00230876">
        <w:rPr>
          <w:rStyle w:val="FootnoteReference"/>
        </w:rPr>
        <w:footnoteRef/>
      </w:r>
      <w:r w:rsidRPr="00230876">
        <w:t xml:space="preserve"> </w:t>
      </w:r>
      <w:r w:rsidRPr="00230876">
        <w:tab/>
        <w:t>Chamber of Advocates (2025a). Chamber of Advocates (2026), written input via CCBE, p. 183.</w:t>
      </w:r>
    </w:p>
  </w:footnote>
  <w:footnote w:id="45">
    <w:p w14:paraId="6AEE6569" w14:textId="4F666C98" w:rsidR="002F67B6" w:rsidRPr="00230876" w:rsidRDefault="002F67B6" w:rsidP="002F67B6">
      <w:pPr>
        <w:pStyle w:val="FootnoteText"/>
      </w:pPr>
      <w:r w:rsidRPr="00230876">
        <w:rPr>
          <w:rStyle w:val="FootnoteReference"/>
        </w:rPr>
        <w:footnoteRef/>
      </w:r>
      <w:r w:rsidRPr="00230876">
        <w:t xml:space="preserve"> </w:t>
      </w:r>
      <w:r w:rsidRPr="00230876">
        <w:tab/>
        <w:t>Repubblika (2026), written input, p.16.</w:t>
      </w:r>
    </w:p>
  </w:footnote>
  <w:footnote w:id="46">
    <w:p w14:paraId="56B56FAB" w14:textId="77777777" w:rsidR="002F67B6" w:rsidRPr="00230876" w:rsidRDefault="002F67B6" w:rsidP="002F67B6">
      <w:pPr>
        <w:pStyle w:val="FootnoteText"/>
      </w:pPr>
      <w:r w:rsidRPr="00230876">
        <w:rPr>
          <w:rStyle w:val="FootnoteReference"/>
        </w:rPr>
        <w:footnoteRef/>
      </w:r>
      <w:r w:rsidRPr="00230876">
        <w:t xml:space="preserve"> </w:t>
      </w:r>
      <w:r w:rsidRPr="00230876">
        <w:tab/>
        <w:t>Bill 133, adopted as Act IV of 2026 on 11 March; and Bill 165, adopted as Act VII of 2026 on 25 March.</w:t>
      </w:r>
    </w:p>
  </w:footnote>
  <w:footnote w:id="47">
    <w:p w14:paraId="0989DD26" w14:textId="2941202D" w:rsidR="002F67B6" w:rsidRPr="00230876" w:rsidRDefault="002F67B6" w:rsidP="002F67B6">
      <w:pPr>
        <w:pStyle w:val="FootnoteText"/>
      </w:pPr>
      <w:r w:rsidRPr="00230876">
        <w:rPr>
          <w:rStyle w:val="FootnoteReference"/>
        </w:rPr>
        <w:footnoteRef/>
      </w:r>
      <w:r w:rsidRPr="00230876">
        <w:t xml:space="preserve"> </w:t>
      </w:r>
      <w:r w:rsidRPr="00230876">
        <w:tab/>
        <w:t>Chamber of Advocates (2026), written input via CCBE, p. 184.</w:t>
      </w:r>
    </w:p>
  </w:footnote>
  <w:footnote w:id="48">
    <w:p w14:paraId="08F5AF1C" w14:textId="51A61EAD" w:rsidR="002F67B6" w:rsidRPr="00230876" w:rsidRDefault="002F67B6" w:rsidP="002F67B6">
      <w:pPr>
        <w:pStyle w:val="FootnoteText"/>
      </w:pPr>
      <w:r w:rsidRPr="00230876">
        <w:rPr>
          <w:rStyle w:val="FootnoteReference"/>
        </w:rPr>
        <w:footnoteRef/>
      </w:r>
      <w:r w:rsidRPr="00230876">
        <w:t xml:space="preserve"> </w:t>
      </w:r>
      <w:r w:rsidRPr="00230876">
        <w:tab/>
      </w:r>
      <w:r w:rsidRPr="00230876">
        <w:rPr>
          <w:rStyle w:val="Footnote1"/>
        </w:rPr>
        <w:t>Chamber of Advocates (2026), written input via CCBE, p. 181</w:t>
      </w:r>
      <w:r w:rsidRPr="00230876">
        <w:t xml:space="preserve">. With the reform of the Family Court, Legal Aid Malta carries new responsibilities as Children’s Advocate. Country visit Malta, Maltese Government. Stakeholders continued to call to widen access to and quality of legal aid. </w:t>
      </w:r>
      <w:r w:rsidRPr="00230876">
        <w:rPr>
          <w:rStyle w:val="Footnote1"/>
        </w:rPr>
        <w:t xml:space="preserve">Aditus and Daphne Foundation </w:t>
      </w:r>
      <w:r w:rsidRPr="00230876">
        <w:rPr>
          <w:rStyle w:val="Footnote1"/>
          <w:lang w:eastAsia="bg-BG" w:bidi="bg-BG"/>
        </w:rPr>
        <w:t xml:space="preserve">(2026), </w:t>
      </w:r>
      <w:r w:rsidRPr="00230876">
        <w:rPr>
          <w:rStyle w:val="Footnote1"/>
        </w:rPr>
        <w:t>written input, pp. 10-11</w:t>
      </w:r>
      <w:r w:rsidRPr="00230876">
        <w:rPr>
          <w:rStyle w:val="Footnote1"/>
          <w:lang w:eastAsia="bg-BG" w:bidi="bg-BG"/>
        </w:rPr>
        <w:t>.</w:t>
      </w:r>
      <w:r w:rsidRPr="00230876">
        <w:t xml:space="preserve"> Repubblika (2026), written input, p.14.</w:t>
      </w:r>
    </w:p>
  </w:footnote>
  <w:footnote w:id="49">
    <w:p w14:paraId="544B7068" w14:textId="3F508F98" w:rsidR="002F67B6" w:rsidRPr="00230876" w:rsidRDefault="002F67B6" w:rsidP="002F67B6">
      <w:pPr>
        <w:pStyle w:val="FootnoteText"/>
      </w:pPr>
      <w:r w:rsidRPr="00230876">
        <w:rPr>
          <w:rStyle w:val="FootnoteReference"/>
        </w:rPr>
        <w:footnoteRef/>
      </w:r>
      <w:r w:rsidRPr="00230876">
        <w:t xml:space="preserve"> </w:t>
      </w:r>
      <w:r w:rsidRPr="00230876">
        <w:tab/>
      </w:r>
      <w:r>
        <w:t xml:space="preserve">Country visit Malta, </w:t>
      </w:r>
      <w:r w:rsidRPr="00230876">
        <w:t>Maltese Government.</w:t>
      </w:r>
    </w:p>
  </w:footnote>
  <w:footnote w:id="50">
    <w:p w14:paraId="6D241833" w14:textId="14CBB87C" w:rsidR="002F67B6" w:rsidRPr="00230876" w:rsidRDefault="002F67B6" w:rsidP="002F67B6">
      <w:pPr>
        <w:pStyle w:val="FootnoteText"/>
      </w:pPr>
      <w:r w:rsidRPr="00230876">
        <w:rPr>
          <w:rStyle w:val="FootnoteReference"/>
        </w:rPr>
        <w:footnoteRef/>
      </w:r>
      <w:r w:rsidRPr="00230876">
        <w:t xml:space="preserve"> </w:t>
      </w:r>
      <w:r w:rsidRPr="00230876">
        <w:tab/>
        <w:t>The 2025 Rule of Law Report recommended to Malta to ‘[s]tep up efforts to improve the efficiency of justice, particularly to reduce the length of proceedings’. Some progress was previously assessed on this recommendation in 2025, 2024, and 2023.</w:t>
      </w:r>
      <w:r w:rsidR="00F376FD">
        <w:t xml:space="preserve"> </w:t>
      </w:r>
      <w:r w:rsidR="00F376FD" w:rsidRPr="00F376FD">
        <w:t>In the context of the European Semester, the Commission has proposed that the Council recommend Malta to “</w:t>
      </w:r>
      <w:r w:rsidR="00F376FD">
        <w:t>i</w:t>
      </w:r>
      <w:r w:rsidR="00F376FD" w:rsidRPr="00F376FD">
        <w:t>mprove the efficiency of the justice system by addressing the case backlog and reducing the length of proceedings”. European Commission (2026) 218 final, CSR 3.</w:t>
      </w:r>
    </w:p>
  </w:footnote>
  <w:footnote w:id="51">
    <w:p w14:paraId="1CC1553D" w14:textId="77777777" w:rsidR="002F67B6" w:rsidRPr="00230876" w:rsidRDefault="002F67B6" w:rsidP="002F67B6">
      <w:pPr>
        <w:pStyle w:val="FootnoteText"/>
      </w:pPr>
      <w:r w:rsidRPr="00230876">
        <w:rPr>
          <w:rStyle w:val="FootnoteReference"/>
        </w:rPr>
        <w:footnoteRef/>
      </w:r>
      <w:r w:rsidRPr="00230876">
        <w:t xml:space="preserve"> </w:t>
      </w:r>
      <w:r w:rsidRPr="00230876">
        <w:tab/>
        <w:t xml:space="preserve">Figure </w:t>
      </w:r>
      <w:r>
        <w:t>5</w:t>
      </w:r>
      <w:r w:rsidRPr="00230876">
        <w:t>, 202</w:t>
      </w:r>
      <w:r>
        <w:t>6</w:t>
      </w:r>
      <w:r w:rsidRPr="00230876">
        <w:t xml:space="preserve"> EU Justice Scoreboard.</w:t>
      </w:r>
      <w:r>
        <w:t xml:space="preserve"> </w:t>
      </w:r>
      <w:r w:rsidRPr="00230876">
        <w:t>Previous figures (in days): 454 (2023)</w:t>
      </w:r>
      <w:r>
        <w:t>,</w:t>
      </w:r>
      <w:r w:rsidRPr="00230876">
        <w:t xml:space="preserve"> 491 (2022)</w:t>
      </w:r>
      <w:r>
        <w:t>,</w:t>
      </w:r>
      <w:r w:rsidRPr="00230876">
        <w:t xml:space="preserve"> 529 (2021)</w:t>
      </w:r>
      <w:r w:rsidR="000828BA">
        <w:t>.</w:t>
      </w:r>
    </w:p>
  </w:footnote>
  <w:footnote w:id="52">
    <w:p w14:paraId="3FEFD09D" w14:textId="77777777" w:rsidR="002F67B6" w:rsidRPr="00230876" w:rsidRDefault="002F67B6" w:rsidP="002F67B6">
      <w:pPr>
        <w:pStyle w:val="FootnoteText"/>
        <w:rPr>
          <w:i/>
          <w:iCs/>
        </w:rPr>
      </w:pPr>
      <w:r w:rsidRPr="00230876">
        <w:rPr>
          <w:rStyle w:val="FootnoteReference"/>
        </w:rPr>
        <w:footnoteRef/>
      </w:r>
      <w:r w:rsidRPr="00230876">
        <w:t xml:space="preserve"> </w:t>
      </w:r>
      <w:r w:rsidRPr="00230876">
        <w:tab/>
        <w:t xml:space="preserve">CEPEJ (2026), </w:t>
      </w:r>
      <w:r w:rsidRPr="00E70248">
        <w:t>Table 3.13.4</w:t>
      </w:r>
      <w:r>
        <w:t xml:space="preserve">, </w:t>
      </w:r>
      <w:r w:rsidRPr="00230876">
        <w:t>p. 461. Previous figures (in days): 713 (2023), 527 (2022), 566 (2021)</w:t>
      </w:r>
      <w:r w:rsidR="000828BA">
        <w:t>.</w:t>
      </w:r>
    </w:p>
  </w:footnote>
  <w:footnote w:id="53">
    <w:p w14:paraId="6E22ED80" w14:textId="77777777" w:rsidR="002F67B6" w:rsidRPr="00230876" w:rsidRDefault="002F67B6" w:rsidP="002F67B6">
      <w:pPr>
        <w:pStyle w:val="FootnoteText"/>
      </w:pPr>
      <w:r w:rsidRPr="00230876">
        <w:rPr>
          <w:rStyle w:val="FootnoteReference"/>
        </w:rPr>
        <w:footnoteRef/>
      </w:r>
      <w:r w:rsidRPr="00230876">
        <w:t xml:space="preserve"> </w:t>
      </w:r>
      <w:r w:rsidRPr="00230876">
        <w:tab/>
        <w:t>CEPEJ (2026)</w:t>
      </w:r>
      <w:r>
        <w:t xml:space="preserve">, </w:t>
      </w:r>
      <w:r w:rsidRPr="00252546">
        <w:t>Table 3.13.6</w:t>
      </w:r>
      <w:r w:rsidRPr="00230876">
        <w:t xml:space="preserve">, p. 461. Previous figures (in days): 2 160 (2023), 2 506 (2022). In homicide trials, the accused persons may have to wait on average </w:t>
      </w:r>
      <w:r>
        <w:t>3</w:t>
      </w:r>
      <w:r w:rsidRPr="00230876">
        <w:t xml:space="preserve"> years for a trial date. Daphne Foundation (2025).</w:t>
      </w:r>
    </w:p>
  </w:footnote>
  <w:footnote w:id="54">
    <w:p w14:paraId="4CFE38DE" w14:textId="362A7262" w:rsidR="002F67B6" w:rsidRPr="00230876" w:rsidRDefault="002F67B6" w:rsidP="002F67B6">
      <w:pPr>
        <w:pStyle w:val="FootnoteText"/>
      </w:pPr>
      <w:r w:rsidRPr="00230876">
        <w:rPr>
          <w:rStyle w:val="FootnoteReference"/>
        </w:rPr>
        <w:footnoteRef/>
      </w:r>
      <w:r w:rsidRPr="00230876">
        <w:t xml:space="preserve"> </w:t>
      </w:r>
      <w:r w:rsidRPr="00230876">
        <w:tab/>
        <w:t xml:space="preserve">Figure </w:t>
      </w:r>
      <w:r>
        <w:t>7</w:t>
      </w:r>
      <w:r w:rsidRPr="00230876">
        <w:t>, 202</w:t>
      </w:r>
      <w:r>
        <w:t>6</w:t>
      </w:r>
      <w:r w:rsidRPr="00230876">
        <w:t xml:space="preserve"> EU Justice Scoreboard. Previous figures: 1 350 (2023), 1 08</w:t>
      </w:r>
      <w:r>
        <w:t>1</w:t>
      </w:r>
      <w:r w:rsidRPr="00230876">
        <w:t xml:space="preserve"> (2022)</w:t>
      </w:r>
      <w:r>
        <w:t>, 1 356 (2021)</w:t>
      </w:r>
      <w:r w:rsidR="000828BA">
        <w:t>.</w:t>
      </w:r>
    </w:p>
  </w:footnote>
  <w:footnote w:id="55">
    <w:p w14:paraId="4FD86FBE" w14:textId="7480D8DD" w:rsidR="002F67B6" w:rsidRPr="00230876" w:rsidRDefault="002F67B6" w:rsidP="002F67B6">
      <w:pPr>
        <w:pStyle w:val="FootnoteText"/>
      </w:pPr>
      <w:r w:rsidRPr="00230876">
        <w:rPr>
          <w:rStyle w:val="FootnoteReference"/>
        </w:rPr>
        <w:footnoteRef/>
      </w:r>
      <w:r w:rsidRPr="00230876">
        <w:t xml:space="preserve"> </w:t>
      </w:r>
      <w:r w:rsidRPr="00230876">
        <w:tab/>
        <w:t>Figure 10, 202</w:t>
      </w:r>
      <w:r>
        <w:t>6</w:t>
      </w:r>
      <w:r w:rsidRPr="00230876">
        <w:t xml:space="preserve"> EU Justice Scoreboard. Previous figures: 95% (2023), 87% (2022)</w:t>
      </w:r>
      <w:r>
        <w:t>...</w:t>
      </w:r>
      <w:r w:rsidRPr="00230876">
        <w:t xml:space="preserve"> 107.3% (2016)</w:t>
      </w:r>
      <w:r>
        <w:t>.</w:t>
      </w:r>
    </w:p>
  </w:footnote>
  <w:footnote w:id="56">
    <w:p w14:paraId="3D43B6B9" w14:textId="29CC4374" w:rsidR="002F67B6" w:rsidRPr="00CB043D" w:rsidRDefault="002F67B6" w:rsidP="002F67B6">
      <w:pPr>
        <w:pStyle w:val="FootnoteText"/>
      </w:pPr>
      <w:r w:rsidRPr="00230876">
        <w:rPr>
          <w:rStyle w:val="FootnoteReference"/>
        </w:rPr>
        <w:footnoteRef/>
      </w:r>
      <w:r w:rsidRPr="00CB043D">
        <w:t xml:space="preserve"> </w:t>
      </w:r>
      <w:r w:rsidRPr="00CB043D">
        <w:tab/>
        <w:t>CEPEJ (2026), Table 3.13.7, p. 460. Previous figures: 74.1% (2023), 92.8% (2022), 87.7% (2021).</w:t>
      </w:r>
    </w:p>
  </w:footnote>
  <w:footnote w:id="57">
    <w:p w14:paraId="69C5A3DB" w14:textId="77777777" w:rsidR="002F67B6" w:rsidRPr="00230876" w:rsidRDefault="002F67B6" w:rsidP="002F67B6">
      <w:pPr>
        <w:pStyle w:val="FootnoteText"/>
        <w:rPr>
          <w:lang w:val="en-IE"/>
        </w:rPr>
      </w:pPr>
      <w:r w:rsidRPr="00230876">
        <w:rPr>
          <w:rStyle w:val="FootnoteReference"/>
        </w:rPr>
        <w:footnoteRef/>
      </w:r>
      <w:r w:rsidRPr="00CB043D">
        <w:t xml:space="preserve"> </w:t>
      </w:r>
      <w:r w:rsidRPr="00CB043D">
        <w:tab/>
        <w:t xml:space="preserve">CEPEJ (2026), Table 3.13.5, p. 460. </w:t>
      </w:r>
      <w:r w:rsidRPr="00230876">
        <w:rPr>
          <w:lang w:val="en-IE"/>
        </w:rPr>
        <w:t>Previous figures: 38.1% (2023), 38.5% (2022).</w:t>
      </w:r>
    </w:p>
  </w:footnote>
  <w:footnote w:id="58">
    <w:p w14:paraId="5E2C01CB" w14:textId="77777777" w:rsidR="002F67B6" w:rsidRPr="00230876" w:rsidRDefault="002F67B6" w:rsidP="002F67B6">
      <w:pPr>
        <w:pStyle w:val="FootnoteText"/>
      </w:pPr>
      <w:r w:rsidRPr="00230876">
        <w:rPr>
          <w:rStyle w:val="FootnoteReference"/>
        </w:rPr>
        <w:footnoteRef/>
      </w:r>
      <w:r w:rsidRPr="00230876">
        <w:rPr>
          <w:lang w:val="en-IE"/>
        </w:rPr>
        <w:t xml:space="preserve"> </w:t>
      </w:r>
      <w:r w:rsidRPr="00230876">
        <w:rPr>
          <w:lang w:val="en-IE"/>
        </w:rPr>
        <w:tab/>
        <w:t>CEPEJ (2026)</w:t>
      </w:r>
      <w:r>
        <w:rPr>
          <w:lang w:val="en-IE"/>
        </w:rPr>
        <w:t xml:space="preserve">, </w:t>
      </w:r>
      <w:r w:rsidRPr="00624459">
        <w:rPr>
          <w:lang w:val="en-IE"/>
        </w:rPr>
        <w:t>Table 3.17.3</w:t>
      </w:r>
      <w:r w:rsidRPr="00230876">
        <w:rPr>
          <w:lang w:val="en-IE"/>
        </w:rPr>
        <w:t xml:space="preserve">, p. 503. </w:t>
      </w:r>
      <w:r w:rsidRPr="00230876">
        <w:t>Previous figures: 145.8% (2023), 90.6% (2022), 94.6% (2021).</w:t>
      </w:r>
    </w:p>
  </w:footnote>
  <w:footnote w:id="59">
    <w:p w14:paraId="594D9E8A" w14:textId="5AB27410" w:rsidR="002F67B6" w:rsidRPr="00230876" w:rsidRDefault="002F67B6" w:rsidP="002F67B6">
      <w:pPr>
        <w:pStyle w:val="FootnoteText"/>
      </w:pPr>
      <w:r w:rsidRPr="00230876">
        <w:rPr>
          <w:rStyle w:val="FootnoteReference"/>
        </w:rPr>
        <w:footnoteRef/>
      </w:r>
      <w:r w:rsidRPr="00230876">
        <w:t xml:space="preserve"> </w:t>
      </w:r>
      <w:r w:rsidRPr="00230876">
        <w:tab/>
        <w:t>Country visit Malta, Maltese Government.</w:t>
      </w:r>
    </w:p>
  </w:footnote>
  <w:footnote w:id="60">
    <w:p w14:paraId="11C7ED27" w14:textId="77777777" w:rsidR="002F67B6" w:rsidRPr="00230876" w:rsidRDefault="002F67B6" w:rsidP="002F67B6">
      <w:pPr>
        <w:pStyle w:val="FootnoteText"/>
      </w:pPr>
      <w:r w:rsidRPr="00230876">
        <w:rPr>
          <w:rStyle w:val="FootnoteReference"/>
        </w:rPr>
        <w:footnoteRef/>
      </w:r>
      <w:r w:rsidRPr="00230876">
        <w:t xml:space="preserve"> </w:t>
      </w:r>
      <w:r w:rsidRPr="00230876">
        <w:tab/>
        <w:t xml:space="preserve">The lack of </w:t>
      </w:r>
      <w:r w:rsidRPr="00230876">
        <w:rPr>
          <w:i/>
          <w:iCs/>
        </w:rPr>
        <w:t>erga omnes</w:t>
      </w:r>
      <w:r w:rsidRPr="00230876">
        <w:t xml:space="preserve"> effect of constitutional rulings leads to repetitive litigation. The Chief Justice called again for reforms to allow constitutional cases to be heard by different sections of the </w:t>
      </w:r>
      <w:r w:rsidRPr="00230876">
        <w:rPr>
          <w:rStyle w:val="Bodytext1"/>
        </w:rPr>
        <w:t xml:space="preserve">Civil and Commercial Court of Appeal. </w:t>
      </w:r>
      <w:r w:rsidRPr="00230876">
        <w:t>A</w:t>
      </w:r>
      <w:r w:rsidRPr="00230876">
        <w:rPr>
          <w:szCs w:val="24"/>
        </w:rPr>
        <w:t xml:space="preserve"> constitutional reform in that sense was </w:t>
      </w:r>
      <w:r>
        <w:rPr>
          <w:szCs w:val="24"/>
        </w:rPr>
        <w:t xml:space="preserve">discussed but </w:t>
      </w:r>
      <w:r w:rsidRPr="00230876">
        <w:rPr>
          <w:szCs w:val="24"/>
        </w:rPr>
        <w:t>not adopted by Parliament in June 2025.</w:t>
      </w:r>
      <w:r w:rsidRPr="00230876">
        <w:t xml:space="preserve"> Chief Justice (2025). ConstitutionNet (2025). Chamber of Advocates (2026), written input, p. 180.</w:t>
      </w:r>
    </w:p>
  </w:footnote>
  <w:footnote w:id="61">
    <w:p w14:paraId="3DE19C8D" w14:textId="77777777" w:rsidR="002F67B6" w:rsidRPr="00230876" w:rsidRDefault="002F67B6" w:rsidP="002F67B6">
      <w:pPr>
        <w:pStyle w:val="FootnoteText"/>
      </w:pPr>
      <w:r w:rsidRPr="00230876">
        <w:rPr>
          <w:rStyle w:val="FootnoteReference"/>
        </w:rPr>
        <w:footnoteRef/>
      </w:r>
      <w:r w:rsidRPr="00230876">
        <w:t xml:space="preserve"> </w:t>
      </w:r>
      <w:r w:rsidRPr="00230876">
        <w:tab/>
        <w:t>Country visit Malta, Malta Business Bureau and Malta Chamber of Commerce. IMF (2026), pp. 19-20.</w:t>
      </w:r>
    </w:p>
  </w:footnote>
  <w:footnote w:id="62">
    <w:p w14:paraId="133FAD95" w14:textId="77777777" w:rsidR="002F67B6" w:rsidRPr="000828BA" w:rsidRDefault="002F67B6" w:rsidP="002F67B6">
      <w:pPr>
        <w:pStyle w:val="FootnoteText"/>
      </w:pPr>
      <w:r w:rsidRPr="00D03E6A">
        <w:rPr>
          <w:rStyle w:val="FootnoteReference"/>
        </w:rPr>
        <w:footnoteRef/>
      </w:r>
      <w:r w:rsidRPr="00D03E6A">
        <w:rPr>
          <w:rStyle w:val="FootnoteReference"/>
        </w:rPr>
        <w:t xml:space="preserve"> </w:t>
      </w:r>
      <w:r w:rsidRPr="00D03E6A">
        <w:rPr>
          <w:rStyle w:val="FootnoteReference"/>
        </w:rPr>
        <w:tab/>
      </w:r>
      <w:r w:rsidRPr="000828BA">
        <w:t>Maltese Government (2026), written input, p. 5.</w:t>
      </w:r>
    </w:p>
  </w:footnote>
  <w:footnote w:id="63">
    <w:p w14:paraId="0CF2F73D" w14:textId="703CA895" w:rsidR="002F67B6" w:rsidRPr="00F30A7E" w:rsidRDefault="002F67B6" w:rsidP="002F67B6">
      <w:pPr>
        <w:pStyle w:val="FootnoteText"/>
        <w:rPr>
          <w:rStyle w:val="FootnoteReference"/>
        </w:rPr>
      </w:pPr>
      <w:r w:rsidRPr="00D03E6A">
        <w:rPr>
          <w:rStyle w:val="FootnoteReference"/>
        </w:rPr>
        <w:footnoteRef/>
      </w:r>
      <w:r w:rsidR="000828BA">
        <w:t xml:space="preserve"> </w:t>
      </w:r>
      <w:r w:rsidR="000828BA">
        <w:tab/>
      </w:r>
      <w:r w:rsidRPr="00C76A32">
        <w:rPr>
          <w:rStyle w:val="FootnoteReference"/>
          <w:vertAlign w:val="baseline"/>
        </w:rPr>
        <w:t>Bills 143 and 144.</w:t>
      </w:r>
      <w:r w:rsidRPr="00D03E6A">
        <w:rPr>
          <w:rStyle w:val="FootnoteReference"/>
        </w:rPr>
        <w:t xml:space="preserve"> </w:t>
      </w:r>
      <w:r w:rsidRPr="0009262D">
        <w:rPr>
          <w:rStyle w:val="Bodytext1"/>
        </w:rPr>
        <w:t>In the Government’s view, the proposed reform strengthen</w:t>
      </w:r>
      <w:r>
        <w:rPr>
          <w:rStyle w:val="Bodytext1"/>
        </w:rPr>
        <w:t>ed</w:t>
      </w:r>
      <w:r w:rsidRPr="0009262D">
        <w:rPr>
          <w:rStyle w:val="Bodytext1"/>
        </w:rPr>
        <w:t xml:space="preserve"> access to the </w:t>
      </w:r>
      <w:r w:rsidRPr="00A23F0B">
        <w:rPr>
          <w:rStyle w:val="Bodytext1"/>
        </w:rPr>
        <w:t>co</w:t>
      </w:r>
      <w:r w:rsidRPr="0009262D">
        <w:rPr>
          <w:rStyle w:val="Bodytext1"/>
        </w:rPr>
        <w:t>urt</w:t>
      </w:r>
      <w:r>
        <w:rPr>
          <w:rStyle w:val="Bodytext1"/>
        </w:rPr>
        <w:t>s</w:t>
      </w:r>
      <w:r w:rsidRPr="0009262D">
        <w:rPr>
          <w:rStyle w:val="Bodytext1"/>
        </w:rPr>
        <w:t xml:space="preserve"> in planning matters, preserve</w:t>
      </w:r>
      <w:r>
        <w:rPr>
          <w:rStyle w:val="Bodytext1"/>
        </w:rPr>
        <w:t>d</w:t>
      </w:r>
      <w:r w:rsidRPr="0009262D">
        <w:rPr>
          <w:rStyle w:val="Bodytext1"/>
        </w:rPr>
        <w:t xml:space="preserve"> the right to challenge decisions, and harmonise</w:t>
      </w:r>
      <w:r>
        <w:rPr>
          <w:rStyle w:val="Bodytext1"/>
        </w:rPr>
        <w:t>d</w:t>
      </w:r>
      <w:r w:rsidRPr="0009262D">
        <w:rPr>
          <w:rStyle w:val="Bodytext1"/>
        </w:rPr>
        <w:t xml:space="preserve"> procedural requirements</w:t>
      </w:r>
      <w:r>
        <w:rPr>
          <w:rStyle w:val="Bodytext1"/>
        </w:rPr>
        <w:t xml:space="preserve">, with the overall aim </w:t>
      </w:r>
      <w:r w:rsidRPr="005B0FB7">
        <w:rPr>
          <w:rStyle w:val="Bodytext1"/>
        </w:rPr>
        <w:t>to improve efficiency and reduce delays</w:t>
      </w:r>
      <w:r>
        <w:rPr>
          <w:rStyle w:val="Bodytext1"/>
        </w:rPr>
        <w:t>.</w:t>
      </w:r>
      <w:r w:rsidRPr="00D03E6A">
        <w:rPr>
          <w:rStyle w:val="FootnoteReference"/>
        </w:rPr>
        <w:t xml:space="preserve"> </w:t>
      </w:r>
      <w:r w:rsidRPr="00C76A32">
        <w:rPr>
          <w:rStyle w:val="FootnoteReference"/>
          <w:vertAlign w:val="baseline"/>
        </w:rPr>
        <w:t>Country visit Malta, Maltese Government.</w:t>
      </w:r>
    </w:p>
  </w:footnote>
  <w:footnote w:id="64">
    <w:p w14:paraId="600384EC" w14:textId="2723EA6C" w:rsidR="002F67B6" w:rsidRPr="00C76A32" w:rsidRDefault="002F67B6" w:rsidP="002F67B6">
      <w:pPr>
        <w:pStyle w:val="FootnoteText"/>
        <w:rPr>
          <w:rStyle w:val="FootnoteReference"/>
          <w:vertAlign w:val="baseline"/>
        </w:rPr>
      </w:pPr>
      <w:r w:rsidRPr="00D03E6A">
        <w:rPr>
          <w:rStyle w:val="FootnoteReference"/>
        </w:rPr>
        <w:footnoteRef/>
      </w:r>
      <w:r w:rsidR="000828BA">
        <w:t xml:space="preserve"> </w:t>
      </w:r>
      <w:r w:rsidR="000828BA">
        <w:tab/>
      </w:r>
      <w:r w:rsidRPr="00C76A32">
        <w:rPr>
          <w:rStyle w:val="FootnoteReference"/>
          <w:vertAlign w:val="baseline"/>
        </w:rPr>
        <w:t xml:space="preserve">Aditus and Daphne Foundation (2026), written input, p. 9. Repubblika (2026), written input, pp. 10-11, 13. The Chamber of Advocates and a coalition of over 70 NGOs (under the </w:t>
      </w:r>
      <w:r w:rsidRPr="00C76A32">
        <w:rPr>
          <w:rStyle w:val="FootnoteReference"/>
          <w:i/>
          <w:iCs/>
          <w:vertAlign w:val="baseline"/>
        </w:rPr>
        <w:t>Ġustizzja għal Artna</w:t>
      </w:r>
      <w:r w:rsidRPr="00C76A32">
        <w:rPr>
          <w:rStyle w:val="FootnoteReference"/>
          <w:vertAlign w:val="baseline"/>
        </w:rPr>
        <w:t xml:space="preserve"> campaign) protested against the planning reform bills in August and October 2025 and in April 2026. Civicus Monitor (2025). Birdlife Malta (2025). Din l-Art Ħelwa</w:t>
      </w:r>
      <w:r w:rsidRPr="00C76A32" w:rsidDel="00814905">
        <w:rPr>
          <w:rStyle w:val="FootnoteReference"/>
          <w:vertAlign w:val="baseline"/>
        </w:rPr>
        <w:t xml:space="preserve"> </w:t>
      </w:r>
      <w:r w:rsidRPr="00C76A32">
        <w:rPr>
          <w:rStyle w:val="FootnoteReference"/>
          <w:vertAlign w:val="baseline"/>
        </w:rPr>
        <w:t xml:space="preserve">(2025). Kevin Aquilina (2025a, 2025b). Moviment Graffitti (2026). </w:t>
      </w:r>
      <w:r w:rsidRPr="00C76A32">
        <w:t xml:space="preserve">For </w:t>
      </w:r>
      <w:r w:rsidRPr="00C76A32">
        <w:rPr>
          <w:rStyle w:val="FootnoteReference"/>
          <w:vertAlign w:val="baseline"/>
        </w:rPr>
        <w:t>the Chamber of Architects</w:t>
      </w:r>
      <w:r w:rsidRPr="00C76A32">
        <w:t xml:space="preserve"> </w:t>
      </w:r>
      <w:r w:rsidRPr="00C76A32">
        <w:rPr>
          <w:rStyle w:val="FootnoteReference"/>
          <w:vertAlign w:val="baseline"/>
        </w:rPr>
        <w:t>(2025a), while a reform of the planning appeal process is long</w:t>
      </w:r>
      <w:r w:rsidRPr="00C76A32">
        <w:t xml:space="preserve"> </w:t>
      </w:r>
      <w:r w:rsidRPr="00C76A32">
        <w:rPr>
          <w:rStyle w:val="FootnoteReference"/>
          <w:vertAlign w:val="baseline"/>
        </w:rPr>
        <w:t>overdue, a number of provisions in the bills are objectionable. Lawyers and architects also criticised the p</w:t>
      </w:r>
      <w:r w:rsidRPr="00C76A32">
        <w:t>roposal</w:t>
      </w:r>
      <w:r w:rsidRPr="00C76A32">
        <w:rPr>
          <w:rStyle w:val="FootnoteReference"/>
          <w:vertAlign w:val="baseline"/>
        </w:rPr>
        <w:t xml:space="preserve"> of heavy non-reviewable fines for appeals deemed frivolous. Chamber of Advocates (2026), written input via CCBE, pp.</w:t>
      </w:r>
      <w:r w:rsidRPr="00C76A32">
        <w:t> </w:t>
      </w:r>
      <w:r w:rsidRPr="00C76A32">
        <w:rPr>
          <w:rStyle w:val="FootnoteReference"/>
          <w:vertAlign w:val="baseline"/>
        </w:rPr>
        <w:t>178, 180-181. Chamber of Advocates (2025). Chamber of Architects (2025b).</w:t>
      </w:r>
    </w:p>
  </w:footnote>
  <w:footnote w:id="65">
    <w:p w14:paraId="020F408F" w14:textId="77777777" w:rsidR="002F67B6" w:rsidRPr="005100AE" w:rsidRDefault="002F67B6" w:rsidP="002F67B6">
      <w:pPr>
        <w:pStyle w:val="FootnoteText"/>
      </w:pPr>
      <w:r w:rsidRPr="005100AE">
        <w:rPr>
          <w:rStyle w:val="FootnoteReference"/>
          <w:lang w:val="en-IE"/>
        </w:rPr>
        <w:footnoteRef/>
      </w:r>
      <w:r w:rsidRPr="005100AE">
        <w:t xml:space="preserve"> </w:t>
      </w:r>
      <w:r w:rsidRPr="005100AE">
        <w:tab/>
        <w:t>The level of perceived corruption is categorised as follows: low (above 79); relatively low (between 79-60), relatively high (between 59-50), high (below 50).</w:t>
      </w:r>
    </w:p>
  </w:footnote>
  <w:footnote w:id="66">
    <w:p w14:paraId="1E2C53DE" w14:textId="77777777" w:rsidR="002F67B6" w:rsidRPr="005100AE" w:rsidRDefault="002F67B6" w:rsidP="002F67B6">
      <w:pPr>
        <w:pStyle w:val="FootnoteText"/>
      </w:pPr>
      <w:r w:rsidRPr="005100AE">
        <w:rPr>
          <w:rStyle w:val="FootnoteReference"/>
          <w:lang w:val="en-IE"/>
        </w:rPr>
        <w:footnoteRef/>
      </w:r>
      <w:r w:rsidRPr="005100AE">
        <w:t xml:space="preserve"> </w:t>
      </w:r>
      <w:r w:rsidRPr="005100AE">
        <w:tab/>
      </w:r>
      <w:r w:rsidRPr="00996E49">
        <w:t>In 2021, the</w:t>
      </w:r>
      <w:r w:rsidRPr="005100AE">
        <w:t xml:space="preserve"> score was </w:t>
      </w:r>
      <w:r>
        <w:t>54</w:t>
      </w:r>
      <w:r w:rsidRPr="005100AE">
        <w:t xml:space="preserve">, while, in </w:t>
      </w:r>
      <w:r w:rsidRPr="00996E49">
        <w:t>2025, the score</w:t>
      </w:r>
      <w:r w:rsidRPr="005100AE">
        <w:t xml:space="preserve"> is </w:t>
      </w:r>
      <w:r>
        <w:t>49</w:t>
      </w:r>
      <w:r w:rsidRPr="005100AE">
        <w:t>. The score significantly increases/decreases when it changes more than five points; improves/deteriorates (changes between 4-5 points) and is relatively stable (changes from 1-3 points) in the last five years.</w:t>
      </w:r>
    </w:p>
  </w:footnote>
  <w:footnote w:id="67">
    <w:p w14:paraId="259A1BAF" w14:textId="4AFD1DE4" w:rsidR="002F67B6" w:rsidRPr="005100AE" w:rsidRDefault="002F67B6" w:rsidP="002F67B6">
      <w:pPr>
        <w:pStyle w:val="FootnoteText"/>
      </w:pPr>
      <w:r w:rsidRPr="005100AE">
        <w:rPr>
          <w:rStyle w:val="FootnoteReference"/>
          <w:lang w:val="en-IE"/>
        </w:rPr>
        <w:footnoteRef/>
      </w:r>
      <w:r w:rsidRPr="005100AE">
        <w:t xml:space="preserve"> </w:t>
      </w:r>
      <w:r w:rsidRPr="005100AE">
        <w:tab/>
      </w:r>
      <w:r>
        <w:t xml:space="preserve">Data from </w:t>
      </w:r>
      <w:r w:rsidRPr="005100AE">
        <w:t xml:space="preserve">Special </w:t>
      </w:r>
      <w:r w:rsidRPr="00ED45FC">
        <w:t>Eurobarometer 573 (2026) and Flash Eurobarometer 582 (2026).</w:t>
      </w:r>
    </w:p>
  </w:footnote>
  <w:footnote w:id="68">
    <w:p w14:paraId="2424BD40" w14:textId="4B654BB5" w:rsidR="002F67B6" w:rsidRPr="00230876" w:rsidRDefault="002F67B6" w:rsidP="002F67B6">
      <w:pPr>
        <w:pStyle w:val="FootnoteText"/>
      </w:pPr>
      <w:r w:rsidRPr="00230876">
        <w:rPr>
          <w:rStyle w:val="FootnoteReference"/>
        </w:rPr>
        <w:footnoteRef/>
      </w:r>
      <w:r w:rsidRPr="00230876">
        <w:t xml:space="preserve"> </w:t>
      </w:r>
      <w:r w:rsidRPr="00230876">
        <w:tab/>
        <w:t>Country visit Malta, IAID, Ministry of Justice. 18 out of 23 actions of the NAFCS have been completed. IAID (2026), written input, p</w:t>
      </w:r>
      <w:r>
        <w:t>p</w:t>
      </w:r>
      <w:r w:rsidRPr="00230876">
        <w:t xml:space="preserve">. </w:t>
      </w:r>
      <w:r>
        <w:t>3-5</w:t>
      </w:r>
      <w:r w:rsidRPr="00230876">
        <w:t>.</w:t>
      </w:r>
    </w:p>
  </w:footnote>
  <w:footnote w:id="69">
    <w:p w14:paraId="307D0E54" w14:textId="3518DD79" w:rsidR="002F67B6" w:rsidRPr="00230876" w:rsidRDefault="002F67B6" w:rsidP="002F67B6">
      <w:pPr>
        <w:pStyle w:val="FootnoteText"/>
      </w:pPr>
      <w:r w:rsidRPr="00230876">
        <w:rPr>
          <w:rStyle w:val="FootnoteReference"/>
        </w:rPr>
        <w:footnoteRef/>
      </w:r>
      <w:r w:rsidRPr="00230876">
        <w:t xml:space="preserve"> </w:t>
      </w:r>
      <w:r w:rsidRPr="00230876">
        <w:tab/>
        <w:t>Country visit Malta, IAID.</w:t>
      </w:r>
      <w:r w:rsidR="004E51A6">
        <w:t xml:space="preserve"> </w:t>
      </w:r>
      <w:r w:rsidR="00D80FB5">
        <w:t>In 2025, IA</w:t>
      </w:r>
      <w:r w:rsidR="001C0D30">
        <w:t xml:space="preserve">ID </w:t>
      </w:r>
      <w:r w:rsidR="00AB0754">
        <w:t xml:space="preserve">conducted </w:t>
      </w:r>
      <w:r w:rsidR="005B4BF4">
        <w:t xml:space="preserve">31 financial investigations and </w:t>
      </w:r>
      <w:r w:rsidR="006252DA">
        <w:t>1</w:t>
      </w:r>
      <w:r w:rsidR="00367584">
        <w:t>4</w:t>
      </w:r>
      <w:r w:rsidR="006252DA">
        <w:t xml:space="preserve"> </w:t>
      </w:r>
      <w:r w:rsidR="00823A99">
        <w:t xml:space="preserve">internal audits, of which 19 </w:t>
      </w:r>
      <w:r w:rsidR="00426D4D">
        <w:t xml:space="preserve">and </w:t>
      </w:r>
      <w:r w:rsidR="00367584">
        <w:t>10</w:t>
      </w:r>
      <w:r w:rsidR="00934AB3">
        <w:t>,</w:t>
      </w:r>
      <w:r w:rsidR="00367584">
        <w:t xml:space="preserve"> </w:t>
      </w:r>
      <w:r w:rsidR="00934AB3">
        <w:t xml:space="preserve">respectively, </w:t>
      </w:r>
      <w:r w:rsidR="00823A99">
        <w:t xml:space="preserve">were concluded. </w:t>
      </w:r>
      <w:r w:rsidR="00470A4A">
        <w:t>Maltese Government (2026a), additional written input.</w:t>
      </w:r>
    </w:p>
  </w:footnote>
  <w:footnote w:id="70">
    <w:p w14:paraId="489B6A55" w14:textId="78FC0794" w:rsidR="002F67B6" w:rsidRPr="00230876" w:rsidRDefault="002F67B6" w:rsidP="002F67B6">
      <w:pPr>
        <w:pStyle w:val="FootnoteText"/>
      </w:pPr>
      <w:r w:rsidRPr="00230876">
        <w:rPr>
          <w:rStyle w:val="FootnoteReference"/>
        </w:rPr>
        <w:footnoteRef/>
      </w:r>
      <w:r w:rsidRPr="00230876">
        <w:t xml:space="preserve"> </w:t>
      </w:r>
      <w:r w:rsidRPr="00230876">
        <w:tab/>
        <w:t xml:space="preserve">Repubblika (2026), written input, p. 23. Civil society also argues that all but one of the eight anti-corruption recommendations made by the </w:t>
      </w:r>
      <w:r w:rsidRPr="000132EC">
        <w:t>public inquiry</w:t>
      </w:r>
      <w:r w:rsidRPr="00230876">
        <w:t xml:space="preserve"> into the assassination of Daphne Caruana Galizia in 2021 </w:t>
      </w:r>
      <w:r>
        <w:t xml:space="preserve">(available </w:t>
      </w:r>
      <w:hyperlink r:id="rId4" w:history="1">
        <w:r w:rsidRPr="00AF0084">
          <w:rPr>
            <w:rStyle w:val="Hyperlink"/>
          </w:rPr>
          <w:t>here</w:t>
        </w:r>
      </w:hyperlink>
      <w:r>
        <w:t>)</w:t>
      </w:r>
      <w:r w:rsidRPr="00230876">
        <w:t xml:space="preserve"> remain unimplemented. Aditus and Daphne Foundation (2026), written input, p. 17.</w:t>
      </w:r>
    </w:p>
  </w:footnote>
  <w:footnote w:id="71">
    <w:p w14:paraId="0D4B131A" w14:textId="03171867" w:rsidR="002F67B6" w:rsidRPr="00230876" w:rsidRDefault="002F67B6" w:rsidP="002F67B6">
      <w:pPr>
        <w:pStyle w:val="FootnoteText"/>
      </w:pPr>
      <w:r w:rsidRPr="00230876">
        <w:rPr>
          <w:rStyle w:val="FootnoteReference"/>
        </w:rPr>
        <w:footnoteRef/>
      </w:r>
      <w:r w:rsidRPr="00230876">
        <w:t xml:space="preserve"> </w:t>
      </w:r>
      <w:r w:rsidRPr="00230876">
        <w:tab/>
        <w:t>GRECO (2025), p. 4.</w:t>
      </w:r>
    </w:p>
  </w:footnote>
  <w:footnote w:id="72">
    <w:p w14:paraId="14288638" w14:textId="77777777" w:rsidR="002F67B6" w:rsidRPr="00230876" w:rsidRDefault="002F67B6" w:rsidP="002F67B6">
      <w:pPr>
        <w:pStyle w:val="FootnoteText"/>
      </w:pPr>
      <w:r w:rsidRPr="00230876">
        <w:rPr>
          <w:rStyle w:val="FootnoteReference"/>
        </w:rPr>
        <w:footnoteRef/>
      </w:r>
      <w:r w:rsidRPr="00230876">
        <w:t xml:space="preserve"> </w:t>
      </w:r>
      <w:r w:rsidRPr="00230876">
        <w:tab/>
        <w:t>The 2025 Rule of Law Report recommended to Malta to ‘[c]ontinue efforts to address challenges related to the length of investigations of high-level corruption cases and step up efforts to establish a robust track record of final judgments’. Some progress was previously assessed on the length of investigations of high-level corruption cases in 2025, 2024 and 2023; and no progress on establishing a robust track record of final judgments in 2025, 2024 and 2023.</w:t>
      </w:r>
    </w:p>
  </w:footnote>
  <w:footnote w:id="73">
    <w:p w14:paraId="71B1C78A" w14:textId="5ED0AB28" w:rsidR="002F67B6" w:rsidRPr="00230876" w:rsidRDefault="002F67B6" w:rsidP="002F67B6">
      <w:pPr>
        <w:pStyle w:val="FootnoteText"/>
      </w:pPr>
      <w:r w:rsidRPr="00230876">
        <w:rPr>
          <w:rStyle w:val="FootnoteReference"/>
        </w:rPr>
        <w:footnoteRef/>
      </w:r>
      <w:r w:rsidRPr="00230876">
        <w:t xml:space="preserve"> </w:t>
      </w:r>
      <w:r w:rsidRPr="00230876">
        <w:tab/>
        <w:t>FCID reached a total of 110 officers in 2026</w:t>
      </w:r>
      <w:r>
        <w:t xml:space="preserve"> (96 in 2024)</w:t>
      </w:r>
      <w:r w:rsidRPr="00230876">
        <w:t>. Country visit Malta, FCID. While human resources increased, the Maltese Police Force still cannot make use of special investigative tools such as wiretaps which, according to GRECO, weakens the ability to investigate complex corruption cases. GRECO (2025), p. 15. The Office of the Attorney General hired 5 prosecutors bringing the total number of prosecutors to 77, out of which 24 are specialised in financial crime. While there is no team dedicated to corruption, 4 prosecutors have expertise in corruption offences. Country visit Malta, Attorney General.</w:t>
      </w:r>
    </w:p>
  </w:footnote>
  <w:footnote w:id="74">
    <w:p w14:paraId="4C40F7FC" w14:textId="77777777" w:rsidR="002F67B6" w:rsidRPr="00230876" w:rsidRDefault="002F67B6" w:rsidP="002F67B6">
      <w:pPr>
        <w:pStyle w:val="FootnoteText"/>
        <w:rPr>
          <w:szCs w:val="24"/>
        </w:rPr>
      </w:pPr>
      <w:r w:rsidRPr="00230876">
        <w:rPr>
          <w:rStyle w:val="FootnoteReference"/>
        </w:rPr>
        <w:footnoteRef/>
      </w:r>
      <w:r w:rsidRPr="00230876">
        <w:t xml:space="preserve"> </w:t>
      </w:r>
      <w:r w:rsidRPr="00230876">
        <w:tab/>
      </w:r>
      <w:r w:rsidRPr="00230876">
        <w:rPr>
          <w:szCs w:val="24"/>
        </w:rPr>
        <w:t xml:space="preserve">Attorney General (2026), written input, p. 6. </w:t>
      </w:r>
      <w:r>
        <w:rPr>
          <w:szCs w:val="24"/>
        </w:rPr>
        <w:t xml:space="preserve">In 2024, </w:t>
      </w:r>
      <w:r w:rsidRPr="00E7309D">
        <w:rPr>
          <w:szCs w:val="24"/>
        </w:rPr>
        <w:t>there were 20 investigations</w:t>
      </w:r>
      <w:r>
        <w:rPr>
          <w:szCs w:val="24"/>
        </w:rPr>
        <w:t xml:space="preserve">, </w:t>
      </w:r>
      <w:r w:rsidRPr="00E7309D">
        <w:rPr>
          <w:szCs w:val="24"/>
        </w:rPr>
        <w:t>18 prosecutions</w:t>
      </w:r>
      <w:r>
        <w:rPr>
          <w:szCs w:val="24"/>
        </w:rPr>
        <w:t xml:space="preserve"> and 3 judgments</w:t>
      </w:r>
      <w:r w:rsidRPr="00735545">
        <w:rPr>
          <w:szCs w:val="24"/>
        </w:rPr>
        <w:t xml:space="preserve"> </w:t>
      </w:r>
      <w:r>
        <w:rPr>
          <w:szCs w:val="24"/>
        </w:rPr>
        <w:t>for the broader category of financial crimes (not for corruption specifically)</w:t>
      </w:r>
      <w:r w:rsidRPr="00E7309D">
        <w:rPr>
          <w:szCs w:val="24"/>
        </w:rPr>
        <w:t>.</w:t>
      </w:r>
    </w:p>
  </w:footnote>
  <w:footnote w:id="75">
    <w:p w14:paraId="73766C50" w14:textId="61E6CD9A" w:rsidR="002F67B6" w:rsidRPr="00642597" w:rsidRDefault="002F67B6" w:rsidP="002F67B6">
      <w:pPr>
        <w:pStyle w:val="FootnoteText"/>
      </w:pPr>
      <w:r>
        <w:rPr>
          <w:rStyle w:val="FootnoteReference"/>
        </w:rPr>
        <w:footnoteRef/>
      </w:r>
      <w:r>
        <w:t xml:space="preserve"> </w:t>
      </w:r>
      <w:r>
        <w:tab/>
        <w:t xml:space="preserve">36 corruption cases are pending in court, out of which 28 have been initiated before 2025. </w:t>
      </w:r>
      <w:r w:rsidRPr="00642597">
        <w:t>Country visit Malta, Maltese Government.</w:t>
      </w:r>
    </w:p>
  </w:footnote>
  <w:footnote w:id="76">
    <w:p w14:paraId="21263D3D" w14:textId="62ED6BF4" w:rsidR="002F67B6" w:rsidRPr="00642597" w:rsidRDefault="002F67B6" w:rsidP="002F67B6">
      <w:pPr>
        <w:pStyle w:val="FootnoteText"/>
      </w:pPr>
      <w:r w:rsidRPr="00642597">
        <w:rPr>
          <w:rStyle w:val="FootnoteReference"/>
        </w:rPr>
        <w:footnoteRef/>
      </w:r>
      <w:r w:rsidRPr="00642597">
        <w:t xml:space="preserve"> </w:t>
      </w:r>
      <w:r w:rsidRPr="00642597">
        <w:tab/>
        <w:t>Country visit Malta, Maltese Government.</w:t>
      </w:r>
      <w:r w:rsidR="005F4A0E" w:rsidRPr="00642597">
        <w:t xml:space="preserve"> Maltese Government (2026a), additional written input.</w:t>
      </w:r>
      <w:r w:rsidR="00231D7E" w:rsidRPr="00642597">
        <w:t xml:space="preserve"> </w:t>
      </w:r>
      <w:bookmarkStart w:id="17" w:name="_Hlk233628386"/>
      <w:r w:rsidR="00231D7E" w:rsidRPr="00642597">
        <w:t>The Government also flagged the impact on timelines of magisterial inquiries initiated by private individuals.</w:t>
      </w:r>
      <w:bookmarkEnd w:id="17"/>
    </w:p>
  </w:footnote>
  <w:footnote w:id="77">
    <w:p w14:paraId="53081085" w14:textId="6B35E398" w:rsidR="002F67B6" w:rsidRPr="00230876" w:rsidRDefault="002F67B6" w:rsidP="002F67B6">
      <w:pPr>
        <w:pStyle w:val="FootnoteText"/>
      </w:pPr>
      <w:r w:rsidRPr="00642597">
        <w:rPr>
          <w:rStyle w:val="FootnoteReference"/>
        </w:rPr>
        <w:footnoteRef/>
      </w:r>
      <w:r w:rsidRPr="00642597">
        <w:t xml:space="preserve"> </w:t>
      </w:r>
      <w:r w:rsidRPr="00642597">
        <w:tab/>
        <w:t>Aditus and Daphne Foundation (2026), written input, p. 26. Repubblika (2026), written input, p. 22.</w:t>
      </w:r>
      <w:r w:rsidRPr="00230876">
        <w:t xml:space="preserve"> Country visit Malta, Chamber of Commerce.</w:t>
      </w:r>
    </w:p>
  </w:footnote>
  <w:footnote w:id="78">
    <w:p w14:paraId="776EA377" w14:textId="5D88D09E" w:rsidR="002F67B6" w:rsidRPr="00655E07" w:rsidRDefault="002F67B6" w:rsidP="002F67B6">
      <w:pPr>
        <w:pStyle w:val="FootnoteText"/>
        <w:rPr>
          <w:rStyle w:val="FootnoteReference"/>
        </w:rPr>
      </w:pPr>
      <w:r w:rsidRPr="00655E07">
        <w:rPr>
          <w:rStyle w:val="FootnoteReference"/>
        </w:rPr>
        <w:footnoteRef/>
      </w:r>
      <w:r w:rsidR="003F73DA">
        <w:rPr>
          <w:rStyle w:val="FootnoteReference"/>
        </w:rPr>
        <w:t xml:space="preserve"> </w:t>
      </w:r>
      <w:r w:rsidR="003F73DA">
        <w:rPr>
          <w:rStyle w:val="FootnoteReference"/>
          <w:vertAlign w:val="baseline"/>
        </w:rPr>
        <w:tab/>
      </w:r>
      <w:r w:rsidR="006A51A1">
        <w:rPr>
          <w:rFonts w:eastAsia="Calibri" w:cstheme="minorBidi"/>
          <w:color w:val="000000" w:themeColor="text1"/>
          <w:szCs w:val="22"/>
          <w:lang w:eastAsia="en-US"/>
        </w:rPr>
        <w:t xml:space="preserve">According to stakeholders, such </w:t>
      </w:r>
      <w:r w:rsidR="006A51A1" w:rsidRPr="00E7192F">
        <w:rPr>
          <w:rFonts w:eastAsiaTheme="minorHAnsi" w:cstheme="minorBidi"/>
          <w:szCs w:val="22"/>
          <w:lang w:eastAsia="en-US"/>
        </w:rPr>
        <w:t>training gaps also hinder the development of the specialised expertise required to prosecute corruption, fraud and financial crime, including cross-border cases</w:t>
      </w:r>
      <w:r w:rsidR="006A51A1">
        <w:rPr>
          <w:rFonts w:eastAsiaTheme="minorHAnsi" w:cstheme="minorBidi"/>
          <w:szCs w:val="22"/>
          <w:lang w:eastAsia="en-US"/>
        </w:rPr>
        <w:t xml:space="preserve">. </w:t>
      </w:r>
      <w:r w:rsidRPr="00C76A32">
        <w:rPr>
          <w:rStyle w:val="FootnoteReference"/>
          <w:vertAlign w:val="baseline"/>
        </w:rPr>
        <w:t>Repubblika (2026), written input, pp. 16, 18.</w:t>
      </w:r>
    </w:p>
  </w:footnote>
  <w:footnote w:id="79">
    <w:p w14:paraId="16B82B23" w14:textId="133D078A" w:rsidR="00D62EF6" w:rsidRPr="00230876" w:rsidRDefault="00D62EF6" w:rsidP="00D62EF6">
      <w:pPr>
        <w:pStyle w:val="FootnoteText"/>
      </w:pPr>
      <w:r w:rsidRPr="00230876">
        <w:rPr>
          <w:rStyle w:val="FootnoteReference"/>
        </w:rPr>
        <w:footnoteRef/>
      </w:r>
      <w:r w:rsidRPr="00230876">
        <w:t xml:space="preserve"> </w:t>
      </w:r>
      <w:r w:rsidRPr="00230876">
        <w:tab/>
      </w:r>
      <w:r w:rsidR="00AA1729" w:rsidRPr="00AA1729">
        <w:t>The prosecutors specialising in corruption receive speciali</w:t>
      </w:r>
      <w:r w:rsidR="006A4948">
        <w:t>s</w:t>
      </w:r>
      <w:r w:rsidR="00AA1729" w:rsidRPr="00AA1729">
        <w:t>ed training on corruption organized by the Chartered Institute of Public Finance and Accounting (CIPFA).</w:t>
      </w:r>
      <w:r w:rsidR="00884784">
        <w:t xml:space="preserve"> Maltese Government (2026a), additional written input.</w:t>
      </w:r>
    </w:p>
  </w:footnote>
  <w:footnote w:id="80">
    <w:p w14:paraId="6A8214AC" w14:textId="2C9E51B3" w:rsidR="002F67B6" w:rsidRPr="00230876" w:rsidRDefault="002F67B6" w:rsidP="002F67B6">
      <w:pPr>
        <w:pStyle w:val="FootnoteText"/>
      </w:pPr>
      <w:r w:rsidRPr="00230876">
        <w:rPr>
          <w:rStyle w:val="FootnoteReference"/>
        </w:rPr>
        <w:footnoteRef/>
      </w:r>
      <w:r w:rsidRPr="00230876">
        <w:t xml:space="preserve"> </w:t>
      </w:r>
      <w:r w:rsidRPr="00230876">
        <w:tab/>
        <w:t xml:space="preserve">Act VIII of 2025, amendments to the Criminal Code. </w:t>
      </w:r>
      <w:r>
        <w:t>2025 Rule of Law Report, Malta, p. 7.</w:t>
      </w:r>
    </w:p>
  </w:footnote>
  <w:footnote w:id="81">
    <w:p w14:paraId="1B6001D9" w14:textId="68A92E12" w:rsidR="002F67B6" w:rsidRPr="00230876" w:rsidRDefault="002F67B6" w:rsidP="002F67B6">
      <w:pPr>
        <w:pStyle w:val="FootnoteText"/>
      </w:pPr>
      <w:r w:rsidRPr="00230876">
        <w:rPr>
          <w:rStyle w:val="FootnoteReference"/>
        </w:rPr>
        <w:footnoteRef/>
      </w:r>
      <w:r w:rsidRPr="00230876">
        <w:t xml:space="preserve"> </w:t>
      </w:r>
      <w:r w:rsidRPr="00230876">
        <w:tab/>
        <w:t>In particular, stakeholders expect that the reform will result in fewer new investigations into corruption cases. Aditus and Daphne Foundation (2026), written input, p. 14. Repubblika (2026), written input, p. 21.</w:t>
      </w:r>
    </w:p>
  </w:footnote>
  <w:footnote w:id="82">
    <w:p w14:paraId="4D33A2DF" w14:textId="53D2061C" w:rsidR="002F67B6" w:rsidRPr="00230876" w:rsidRDefault="002F67B6" w:rsidP="002F67B6">
      <w:pPr>
        <w:pStyle w:val="FootnoteText"/>
      </w:pPr>
      <w:r w:rsidRPr="00230876">
        <w:rPr>
          <w:rStyle w:val="FootnoteReference"/>
        </w:rPr>
        <w:footnoteRef/>
      </w:r>
      <w:r w:rsidRPr="00230876">
        <w:t xml:space="preserve"> </w:t>
      </w:r>
      <w:r>
        <w:tab/>
        <w:t xml:space="preserve">Maltese government (2026), written input, p. 18. </w:t>
      </w:r>
      <w:r w:rsidRPr="00230876">
        <w:t>Country visit Malta, Maltese Government.</w:t>
      </w:r>
    </w:p>
  </w:footnote>
  <w:footnote w:id="83">
    <w:p w14:paraId="50FC11F6" w14:textId="30B42903" w:rsidR="002F67B6" w:rsidRPr="00230876" w:rsidRDefault="002F67B6" w:rsidP="002F67B6">
      <w:pPr>
        <w:pStyle w:val="FootnoteText"/>
      </w:pPr>
      <w:r w:rsidRPr="00230876">
        <w:rPr>
          <w:rStyle w:val="FootnoteReference"/>
        </w:rPr>
        <w:footnoteRef/>
      </w:r>
      <w:r w:rsidRPr="00230876">
        <w:t xml:space="preserve"> </w:t>
      </w:r>
      <w:r w:rsidRPr="00230876">
        <w:tab/>
        <w:t>In October 2025</w:t>
      </w:r>
      <w:r>
        <w:t>,</w:t>
      </w:r>
      <w:r w:rsidRPr="00230876">
        <w:t xml:space="preserve"> the Attorney General received a large number of incomplete inquiries</w:t>
      </w:r>
      <w:r>
        <w:t xml:space="preserve"> (due to the newly introduced time-limit of two years)</w:t>
      </w:r>
      <w:r w:rsidRPr="00230876">
        <w:t xml:space="preserve">, which </w:t>
      </w:r>
      <w:r>
        <w:t>were</w:t>
      </w:r>
      <w:r w:rsidRPr="00230876">
        <w:t xml:space="preserve"> analysed and returned to magistrates and the Police for further investigation. Country visit Malta, Attorney General.</w:t>
      </w:r>
    </w:p>
  </w:footnote>
  <w:footnote w:id="84">
    <w:p w14:paraId="7149F91C" w14:textId="77777777" w:rsidR="002F67B6" w:rsidRPr="00230876" w:rsidRDefault="002F67B6" w:rsidP="002F67B6">
      <w:pPr>
        <w:pStyle w:val="FootnoteText"/>
      </w:pPr>
      <w:r w:rsidRPr="00230876">
        <w:rPr>
          <w:rStyle w:val="FootnoteReference"/>
        </w:rPr>
        <w:footnoteRef/>
      </w:r>
      <w:r w:rsidRPr="00230876">
        <w:t xml:space="preserve"> </w:t>
      </w:r>
      <w:r w:rsidRPr="00230876">
        <w:tab/>
      </w:r>
      <w:r w:rsidRPr="00230876">
        <w:rPr>
          <w:lang w:eastAsia="fr-FR"/>
        </w:rPr>
        <w:t xml:space="preserve">Two </w:t>
      </w:r>
      <w:r w:rsidRPr="00230876">
        <w:t>administrative officers (tasked to support the digitali</w:t>
      </w:r>
      <w:r>
        <w:t>s</w:t>
      </w:r>
      <w:r w:rsidRPr="00230876">
        <w:t xml:space="preserve">ation and transcription of testimonies) </w:t>
      </w:r>
      <w:r w:rsidRPr="00230876">
        <w:rPr>
          <w:lang w:eastAsia="fr-FR"/>
        </w:rPr>
        <w:t>and one manager have been hired, with RRP support.</w:t>
      </w:r>
      <w:r w:rsidRPr="00230876">
        <w:t xml:space="preserve"> PCAC (2026), written input, p. 2.</w:t>
      </w:r>
    </w:p>
  </w:footnote>
  <w:footnote w:id="85">
    <w:p w14:paraId="3DE692D8" w14:textId="3A424A23" w:rsidR="002F67B6" w:rsidRPr="00230876" w:rsidRDefault="002F67B6" w:rsidP="002F67B6">
      <w:pPr>
        <w:pStyle w:val="FootnoteText"/>
      </w:pPr>
      <w:r w:rsidRPr="00230876">
        <w:rPr>
          <w:rStyle w:val="FootnoteReference"/>
        </w:rPr>
        <w:footnoteRef/>
      </w:r>
      <w:r w:rsidRPr="00230876">
        <w:t xml:space="preserve"> </w:t>
      </w:r>
      <w:r w:rsidRPr="00230876">
        <w:tab/>
      </w:r>
      <w:r>
        <w:rPr>
          <w:lang w:eastAsia="fr-FR"/>
        </w:rPr>
        <w:t>This is due to</w:t>
      </w:r>
      <w:r w:rsidRPr="00230876">
        <w:rPr>
          <w:lang w:eastAsia="fr-FR"/>
        </w:rPr>
        <w:t xml:space="preserve"> the fact that the </w:t>
      </w:r>
      <w:r>
        <w:rPr>
          <w:lang w:eastAsia="fr-FR"/>
        </w:rPr>
        <w:t>p</w:t>
      </w:r>
      <w:r w:rsidRPr="00230876">
        <w:rPr>
          <w:lang w:eastAsia="fr-FR"/>
        </w:rPr>
        <w:t>olice cannot use the evidence collected by the PCAC</w:t>
      </w:r>
      <w:r w:rsidRPr="00230876">
        <w:t xml:space="preserve"> due to very strict non-disclosure obligations of the PCAC, vis-à-vis the </w:t>
      </w:r>
      <w:r>
        <w:t>p</w:t>
      </w:r>
      <w:r w:rsidRPr="00230876">
        <w:t>olice, the Attorney-General and in Court. PCAC (2026), written input, p. 8. Country visit Malta, PCAC, Attorney General.</w:t>
      </w:r>
    </w:p>
  </w:footnote>
  <w:footnote w:id="86">
    <w:p w14:paraId="519C430E" w14:textId="2FDEE6B0" w:rsidR="002F67B6" w:rsidRPr="00230876" w:rsidRDefault="002F67B6" w:rsidP="002F67B6">
      <w:pPr>
        <w:pStyle w:val="FootnoteText"/>
      </w:pPr>
      <w:r w:rsidRPr="00230876">
        <w:rPr>
          <w:rStyle w:val="FootnoteReference"/>
        </w:rPr>
        <w:footnoteRef/>
      </w:r>
      <w:r w:rsidRPr="00230876">
        <w:t xml:space="preserve"> </w:t>
      </w:r>
      <w:r w:rsidRPr="00230876">
        <w:tab/>
        <w:t>2025 Rule of Law Report, Malta, p. 8.</w:t>
      </w:r>
    </w:p>
  </w:footnote>
  <w:footnote w:id="87">
    <w:p w14:paraId="72C56113" w14:textId="5D09AAEE" w:rsidR="002F67B6" w:rsidRPr="00230876" w:rsidRDefault="002F67B6" w:rsidP="002F67B6">
      <w:pPr>
        <w:pStyle w:val="FootnoteText"/>
      </w:pPr>
      <w:r w:rsidRPr="00230876">
        <w:rPr>
          <w:rStyle w:val="FootnoteReference"/>
        </w:rPr>
        <w:footnoteRef/>
      </w:r>
      <w:r w:rsidRPr="00230876">
        <w:t xml:space="preserve"> </w:t>
      </w:r>
      <w:r w:rsidRPr="00230876">
        <w:tab/>
        <w:t>PCAC (2026), written input, pp. 6-7.</w:t>
      </w:r>
    </w:p>
  </w:footnote>
  <w:footnote w:id="88">
    <w:p w14:paraId="192A12CF" w14:textId="2E0F4419" w:rsidR="002F67B6" w:rsidRPr="00230876" w:rsidRDefault="002F67B6" w:rsidP="002F67B6">
      <w:pPr>
        <w:pStyle w:val="FootnoteText"/>
      </w:pPr>
      <w:r w:rsidRPr="00230876">
        <w:rPr>
          <w:rStyle w:val="FootnoteReference"/>
        </w:rPr>
        <w:footnoteRef/>
      </w:r>
      <w:r w:rsidRPr="00230876">
        <w:t xml:space="preserve"> </w:t>
      </w:r>
      <w:r w:rsidRPr="00230876">
        <w:tab/>
        <w:t>Maltese Government (2026), written input, p. 37.</w:t>
      </w:r>
    </w:p>
  </w:footnote>
  <w:footnote w:id="89">
    <w:p w14:paraId="7E20613E" w14:textId="0BB00A26" w:rsidR="002F67B6" w:rsidRPr="00230876" w:rsidRDefault="002F67B6" w:rsidP="002F67B6">
      <w:pPr>
        <w:pStyle w:val="FootnoteText"/>
      </w:pPr>
      <w:r w:rsidRPr="00230876">
        <w:rPr>
          <w:rStyle w:val="FootnoteReference"/>
        </w:rPr>
        <w:footnoteRef/>
      </w:r>
      <w:r w:rsidRPr="00230876">
        <w:t xml:space="preserve"> </w:t>
      </w:r>
      <w:r w:rsidRPr="00230876">
        <w:tab/>
        <w:t xml:space="preserve">According to GRECO, a risk assessment-based anti-corruption strategy is still missing, and the operational independence of the </w:t>
      </w:r>
      <w:r>
        <w:t>p</w:t>
      </w:r>
      <w:r w:rsidRPr="00230876">
        <w:t>olice remains insufficient. GRECO (2025), p. 23.</w:t>
      </w:r>
    </w:p>
  </w:footnote>
  <w:footnote w:id="90">
    <w:p w14:paraId="3B3F83C1" w14:textId="18D5CDA0" w:rsidR="002F67B6" w:rsidRPr="00230876" w:rsidRDefault="002F67B6" w:rsidP="002F67B6">
      <w:pPr>
        <w:pStyle w:val="FootnoteText"/>
      </w:pPr>
      <w:r w:rsidRPr="00230876">
        <w:rPr>
          <w:rStyle w:val="FootnoteReference"/>
        </w:rPr>
        <w:footnoteRef/>
      </w:r>
      <w:r w:rsidRPr="00230876">
        <w:t xml:space="preserve"> </w:t>
      </w:r>
      <w:r w:rsidRPr="00230876">
        <w:tab/>
        <w:t>Malta Police Force (2025), p. 56.</w:t>
      </w:r>
    </w:p>
  </w:footnote>
  <w:footnote w:id="91">
    <w:p w14:paraId="0EAE6340" w14:textId="7D20A75E" w:rsidR="002F67B6" w:rsidRPr="00230876" w:rsidRDefault="002F67B6" w:rsidP="002F67B6">
      <w:pPr>
        <w:pStyle w:val="FootnoteText"/>
      </w:pPr>
      <w:r w:rsidRPr="00230876">
        <w:rPr>
          <w:rStyle w:val="FootnoteReference"/>
        </w:rPr>
        <w:footnoteRef/>
      </w:r>
      <w:r w:rsidRPr="00230876">
        <w:t xml:space="preserve"> </w:t>
      </w:r>
      <w:r w:rsidRPr="00230876">
        <w:tab/>
        <w:t>2025 Rule of Law Report, Malta, pp. 8-9.</w:t>
      </w:r>
    </w:p>
  </w:footnote>
  <w:footnote w:id="92">
    <w:p w14:paraId="53224373" w14:textId="77777777" w:rsidR="002F67B6" w:rsidRPr="00230876" w:rsidRDefault="002F67B6" w:rsidP="002F67B6">
      <w:pPr>
        <w:pStyle w:val="FootnoteText"/>
      </w:pPr>
      <w:r w:rsidRPr="00230876">
        <w:rPr>
          <w:rStyle w:val="FootnoteReference"/>
        </w:rPr>
        <w:footnoteRef/>
      </w:r>
      <w:r w:rsidRPr="00230876">
        <w:t xml:space="preserve"> </w:t>
      </w:r>
      <w:r w:rsidRPr="00230876">
        <w:tab/>
        <w:t>The key legal documents are the Public Administration Act, the Code of Ethics for public employees and board members, Directive No. 16</w:t>
      </w:r>
      <w:r>
        <w:t xml:space="preserve"> of 2023</w:t>
      </w:r>
      <w:r w:rsidRPr="00230876">
        <w:t>, and the Framework for preventing and managing conflicts of interest in the public sector</w:t>
      </w:r>
      <w:r>
        <w:t>, effective from February 2024</w:t>
      </w:r>
      <w:r w:rsidRPr="00230876">
        <w:t>. GRECO (2025), p. 10-12.</w:t>
      </w:r>
    </w:p>
  </w:footnote>
  <w:footnote w:id="93">
    <w:p w14:paraId="64826B44" w14:textId="50BACEEA" w:rsidR="002F67B6" w:rsidRPr="00230876" w:rsidRDefault="002F67B6" w:rsidP="002F67B6">
      <w:pPr>
        <w:pStyle w:val="FootnoteText"/>
      </w:pPr>
      <w:r w:rsidRPr="00230876">
        <w:rPr>
          <w:rStyle w:val="FootnoteReference"/>
        </w:rPr>
        <w:footnoteRef/>
      </w:r>
      <w:r w:rsidRPr="00230876">
        <w:t xml:space="preserve"> </w:t>
      </w:r>
      <w:r w:rsidRPr="00230876">
        <w:tab/>
      </w:r>
      <w:r w:rsidRPr="00541270">
        <w:t>A person of trust is a politically appointed adviser or staff member directly appointed by the government.</w:t>
      </w:r>
      <w:r w:rsidRPr="00230876">
        <w:t>. While the authorities state that the framework fully applies to persons of trust, the Commissioner for Standards in Public Life</w:t>
      </w:r>
      <w:r>
        <w:t xml:space="preserve"> (2026a, p. 4)</w:t>
      </w:r>
      <w:r w:rsidRPr="00230876">
        <w:t xml:space="preserve"> argues that Directive 16, which includes more detailed provisions on conflicts of interest and additional enforcement possibilities, cannot be applied to persons of trust</w:t>
      </w:r>
      <w:r>
        <w:t>, as they are not public employees</w:t>
      </w:r>
      <w:r w:rsidRPr="00230876">
        <w:t xml:space="preserve">. </w:t>
      </w:r>
      <w:r>
        <w:t xml:space="preserve">Also see </w:t>
      </w:r>
      <w:r w:rsidRPr="00230876">
        <w:t>GRECO (2025), p. 11.</w:t>
      </w:r>
    </w:p>
  </w:footnote>
  <w:footnote w:id="94">
    <w:p w14:paraId="7A59FD65" w14:textId="69A8E2CE" w:rsidR="002F67B6" w:rsidRPr="00230876" w:rsidRDefault="002F67B6" w:rsidP="002F67B6">
      <w:pPr>
        <w:pStyle w:val="FootnoteText"/>
      </w:pPr>
      <w:r w:rsidRPr="00230876">
        <w:rPr>
          <w:rStyle w:val="FootnoteReference"/>
        </w:rPr>
        <w:footnoteRef/>
      </w:r>
      <w:r w:rsidRPr="00230876">
        <w:t xml:space="preserve"> </w:t>
      </w:r>
      <w:r w:rsidRPr="00230876">
        <w:tab/>
        <w:t>Civil Liberties (2026), p. 566. Repubblika (2026), written input, p. 29.</w:t>
      </w:r>
    </w:p>
  </w:footnote>
  <w:footnote w:id="95">
    <w:p w14:paraId="695B08E5" w14:textId="4C132318" w:rsidR="002F67B6" w:rsidRPr="00230876" w:rsidRDefault="002F67B6" w:rsidP="002F67B6">
      <w:pPr>
        <w:pStyle w:val="FootnoteText"/>
      </w:pPr>
      <w:r w:rsidRPr="00230876">
        <w:rPr>
          <w:rStyle w:val="FootnoteReference"/>
        </w:rPr>
        <w:footnoteRef/>
      </w:r>
      <w:r w:rsidRPr="00230876">
        <w:t xml:space="preserve"> </w:t>
      </w:r>
      <w:r w:rsidRPr="00230876">
        <w:tab/>
        <w:t>GRECO (2025), p. 9. Country visit Malta, Maltese Government.</w:t>
      </w:r>
    </w:p>
  </w:footnote>
  <w:footnote w:id="96">
    <w:p w14:paraId="6471271C" w14:textId="4E1C9BE8" w:rsidR="002F67B6" w:rsidRPr="00230876" w:rsidRDefault="002F67B6" w:rsidP="002F67B6">
      <w:pPr>
        <w:pStyle w:val="FootnoteText"/>
        <w:rPr>
          <w:lang w:val="en-IE"/>
        </w:rPr>
      </w:pPr>
      <w:r w:rsidRPr="00230876">
        <w:rPr>
          <w:rStyle w:val="FootnoteReference"/>
        </w:rPr>
        <w:footnoteRef/>
      </w:r>
      <w:r w:rsidRPr="00230876">
        <w:t xml:space="preserve"> </w:t>
      </w:r>
      <w:r w:rsidRPr="00230876">
        <w:tab/>
        <w:t>OSCE (2022), p</w:t>
      </w:r>
      <w:r>
        <w:t>p</w:t>
      </w:r>
      <w:r w:rsidRPr="00230876">
        <w:t>. 9, 13. Repubblika (2025).</w:t>
      </w:r>
    </w:p>
  </w:footnote>
  <w:footnote w:id="97">
    <w:p w14:paraId="63F648EB" w14:textId="0B84D305" w:rsidR="002F67B6" w:rsidRPr="00642597" w:rsidRDefault="002F67B6" w:rsidP="002F67B6">
      <w:pPr>
        <w:pStyle w:val="FootnoteText"/>
        <w:rPr>
          <w:lang w:val="en-IE"/>
        </w:rPr>
      </w:pPr>
      <w:r w:rsidRPr="00642597">
        <w:rPr>
          <w:rStyle w:val="FootnoteReference"/>
        </w:rPr>
        <w:footnoteRef/>
      </w:r>
      <w:r w:rsidRPr="00642597">
        <w:t xml:space="preserve"> </w:t>
      </w:r>
      <w:r w:rsidRPr="00642597">
        <w:rPr>
          <w:lang w:val="en-IE"/>
        </w:rPr>
        <w:tab/>
        <w:t xml:space="preserve">Commissioner for Standards in Public Life (2026), </w:t>
      </w:r>
      <w:r w:rsidRPr="00642597">
        <w:t>written input, p. 14</w:t>
      </w:r>
      <w:r w:rsidRPr="00642597">
        <w:rPr>
          <w:lang w:val="en-IE"/>
        </w:rPr>
        <w:t>.</w:t>
      </w:r>
      <w:r w:rsidR="00585C98" w:rsidRPr="00A41C94">
        <w:rPr>
          <w:lang w:val="en-IE"/>
        </w:rPr>
        <w:t xml:space="preserve"> </w:t>
      </w:r>
      <w:r w:rsidR="00585C98" w:rsidRPr="00642597">
        <w:rPr>
          <w:lang w:val="en-IE"/>
        </w:rPr>
        <w:t>Ministers have continued to submit declaration</w:t>
      </w:r>
      <w:r w:rsidR="00471EE0" w:rsidRPr="00642597">
        <w:rPr>
          <w:lang w:val="en-IE"/>
        </w:rPr>
        <w:t>s</w:t>
      </w:r>
      <w:r w:rsidR="00585C98" w:rsidRPr="00642597">
        <w:rPr>
          <w:lang w:val="en-IE"/>
        </w:rPr>
        <w:t xml:space="preserve"> of assets </w:t>
      </w:r>
      <w:r w:rsidR="0004024D" w:rsidRPr="00642597">
        <w:rPr>
          <w:lang w:val="en-IE"/>
        </w:rPr>
        <w:t>in their capacity as</w:t>
      </w:r>
      <w:r w:rsidR="00585C98" w:rsidRPr="00642597">
        <w:rPr>
          <w:lang w:val="en-IE"/>
        </w:rPr>
        <w:t xml:space="preserve"> Members of Parliament</w:t>
      </w:r>
      <w:r w:rsidR="0004024D" w:rsidRPr="00642597">
        <w:rPr>
          <w:lang w:val="en-IE"/>
        </w:rPr>
        <w:t>, which are however less detailed</w:t>
      </w:r>
      <w:r w:rsidR="009575FA" w:rsidRPr="00642597">
        <w:rPr>
          <w:lang w:val="en-IE"/>
        </w:rPr>
        <w:t xml:space="preserve"> than the current rules for Ministers</w:t>
      </w:r>
      <w:r w:rsidR="00062B4A" w:rsidRPr="00642597">
        <w:rPr>
          <w:lang w:val="en-IE"/>
        </w:rPr>
        <w:t>.</w:t>
      </w:r>
      <w:r w:rsidR="00322213" w:rsidRPr="00642597">
        <w:t xml:space="preserve"> </w:t>
      </w:r>
      <w:r w:rsidR="00D851BD" w:rsidRPr="00642597">
        <w:t>Maltese Government (2026a), additional written input.</w:t>
      </w:r>
    </w:p>
  </w:footnote>
  <w:footnote w:id="98">
    <w:p w14:paraId="7A5840D9" w14:textId="039A878B" w:rsidR="002F67B6" w:rsidRPr="00E7192F" w:rsidRDefault="002F67B6" w:rsidP="002F67B6">
      <w:pPr>
        <w:pStyle w:val="FootnoteText"/>
        <w:rPr>
          <w:lang w:val="en-IE"/>
        </w:rPr>
      </w:pPr>
      <w:r w:rsidRPr="00642597">
        <w:rPr>
          <w:rStyle w:val="FootnoteReference"/>
        </w:rPr>
        <w:footnoteRef/>
      </w:r>
      <w:r w:rsidRPr="00642597">
        <w:t xml:space="preserve"> </w:t>
      </w:r>
      <w:r w:rsidRPr="00642597">
        <w:rPr>
          <w:lang w:val="en-IE"/>
        </w:rPr>
        <w:tab/>
        <w:t>Draft amendments to the Code of Ethics for Members of the House of Representatives,</w:t>
      </w:r>
      <w:r w:rsidRPr="00230876">
        <w:rPr>
          <w:lang w:val="en-IE"/>
        </w:rPr>
        <w:t xml:space="preserve"> and to the Code of Ethics for Ministers and Parliamentary Secretaries. Standards in Public Life Act (Second Schedule) (Amendment) Order, </w:t>
      </w:r>
      <w:r w:rsidRPr="00E7192F">
        <w:rPr>
          <w:lang w:val="en-IE"/>
        </w:rPr>
        <w:t>2026.</w:t>
      </w:r>
      <w:r w:rsidR="003F6C46" w:rsidRPr="00E7192F">
        <w:rPr>
          <w:lang w:val="en-IE"/>
        </w:rPr>
        <w:t xml:space="preserve"> </w:t>
      </w:r>
      <w:r w:rsidR="00333B6B" w:rsidRPr="00E7192F">
        <w:rPr>
          <w:lang w:val="en-IE"/>
        </w:rPr>
        <w:t>The Government underline</w:t>
      </w:r>
      <w:r w:rsidR="00843FC2" w:rsidRPr="00352C6F">
        <w:rPr>
          <w:lang w:val="en-IE"/>
        </w:rPr>
        <w:t>d</w:t>
      </w:r>
      <w:r w:rsidR="00333B6B" w:rsidRPr="00E7192F">
        <w:rPr>
          <w:lang w:val="en-IE"/>
        </w:rPr>
        <w:t xml:space="preserve"> that the changes to the Code of Ethics for MPs would also set higher ethical standards and extend to all parliamentary duties, including parliamentary questions and committees, the obligations related to </w:t>
      </w:r>
      <w:r w:rsidR="00F70F59" w:rsidRPr="00352C6F">
        <w:rPr>
          <w:lang w:val="en-IE"/>
        </w:rPr>
        <w:t xml:space="preserve">the </w:t>
      </w:r>
      <w:r w:rsidR="00333B6B" w:rsidRPr="00E7192F">
        <w:rPr>
          <w:lang w:val="en-IE"/>
        </w:rPr>
        <w:t>disclos</w:t>
      </w:r>
      <w:r w:rsidR="00F70F59" w:rsidRPr="00352C6F">
        <w:rPr>
          <w:lang w:val="en-IE"/>
        </w:rPr>
        <w:t xml:space="preserve">ure of </w:t>
      </w:r>
      <w:r w:rsidR="00333B6B" w:rsidRPr="00E7192F">
        <w:rPr>
          <w:lang w:val="en-IE"/>
        </w:rPr>
        <w:t>conflicts of interest.</w:t>
      </w:r>
      <w:r w:rsidR="00843FC2" w:rsidRPr="00E7192F">
        <w:rPr>
          <w:lang w:val="en-IE"/>
        </w:rPr>
        <w:t xml:space="preserve"> </w:t>
      </w:r>
      <w:r w:rsidR="00843FC2" w:rsidRPr="00E7192F">
        <w:t>Maltese Government (2026a), additional written input.</w:t>
      </w:r>
    </w:p>
  </w:footnote>
  <w:footnote w:id="99">
    <w:p w14:paraId="26BCD11A" w14:textId="686335DD" w:rsidR="002F67B6" w:rsidRPr="00230876" w:rsidRDefault="002F67B6" w:rsidP="002F67B6">
      <w:pPr>
        <w:pStyle w:val="FootnoteText"/>
        <w:rPr>
          <w:lang w:val="en-IE"/>
        </w:rPr>
      </w:pPr>
      <w:r w:rsidRPr="00E7192F">
        <w:rPr>
          <w:rStyle w:val="FootnoteReference"/>
        </w:rPr>
        <w:footnoteRef/>
      </w:r>
      <w:r w:rsidRPr="00E7192F">
        <w:t xml:space="preserve"> </w:t>
      </w:r>
      <w:r w:rsidRPr="00E7192F">
        <w:rPr>
          <w:lang w:val="en-IE"/>
        </w:rPr>
        <w:tab/>
        <w:t>Commissioner for Standards</w:t>
      </w:r>
      <w:r w:rsidRPr="00230876">
        <w:rPr>
          <w:lang w:val="en-IE"/>
        </w:rPr>
        <w:t xml:space="preserve"> in Public Life (2026)</w:t>
      </w:r>
      <w:r>
        <w:rPr>
          <w:lang w:val="en-IE"/>
        </w:rPr>
        <w:t xml:space="preserve">, </w:t>
      </w:r>
      <w:r w:rsidRPr="00230876">
        <w:t>written input</w:t>
      </w:r>
      <w:r>
        <w:t>, p. 14</w:t>
      </w:r>
      <w:r w:rsidRPr="00230876">
        <w:rPr>
          <w:lang w:val="en-IE"/>
        </w:rPr>
        <w:t>. Country visit Malta, Chamber of Commerce, Repubblika, Commissioner for Standards in Public Life.</w:t>
      </w:r>
    </w:p>
  </w:footnote>
  <w:footnote w:id="100">
    <w:p w14:paraId="49C18AE2" w14:textId="204C76C9" w:rsidR="00E20A9F" w:rsidRPr="00230876" w:rsidRDefault="00E20A9F" w:rsidP="00E20A9F">
      <w:pPr>
        <w:pStyle w:val="FootnoteText"/>
      </w:pPr>
      <w:r w:rsidRPr="00230876">
        <w:rPr>
          <w:rStyle w:val="FootnoteReference"/>
        </w:rPr>
        <w:footnoteRef/>
      </w:r>
      <w:r w:rsidRPr="00230876">
        <w:t xml:space="preserve"> </w:t>
      </w:r>
      <w:r w:rsidRPr="00230876">
        <w:tab/>
      </w:r>
      <w:r w:rsidR="00913F48">
        <w:t>Maltese Government (2026a), additional written input.</w:t>
      </w:r>
    </w:p>
  </w:footnote>
  <w:footnote w:id="101">
    <w:p w14:paraId="34AE871F" w14:textId="23A5C715" w:rsidR="002F67B6" w:rsidRPr="00230876" w:rsidRDefault="002F67B6" w:rsidP="002F67B6">
      <w:pPr>
        <w:pStyle w:val="FootnoteText"/>
        <w:rPr>
          <w:lang w:val="en-IE"/>
        </w:rPr>
      </w:pPr>
      <w:r w:rsidRPr="00230876">
        <w:rPr>
          <w:rStyle w:val="FootnoteReference"/>
        </w:rPr>
        <w:footnoteRef/>
      </w:r>
      <w:r w:rsidRPr="00230876">
        <w:t xml:space="preserve"> </w:t>
      </w:r>
      <w:r w:rsidRPr="00230876">
        <w:tab/>
      </w:r>
      <w:r>
        <w:t>T</w:t>
      </w:r>
      <w:r w:rsidRPr="00230876">
        <w:t>he Parliament’s Committee for Standards has so far not managed to establish a track record to sanction integrity breaches. OECD (2022), p</w:t>
      </w:r>
      <w:r>
        <w:t>p</w:t>
      </w:r>
      <w:r w:rsidRPr="00230876">
        <w:t>. 31-41. 2025 Rule of Law Report, Malta, p. 9.</w:t>
      </w:r>
    </w:p>
  </w:footnote>
  <w:footnote w:id="102">
    <w:p w14:paraId="26827E57" w14:textId="6E74F10B" w:rsidR="002F67B6" w:rsidRPr="00230876" w:rsidRDefault="002F67B6" w:rsidP="002F67B6">
      <w:pPr>
        <w:pStyle w:val="FootnoteText"/>
        <w:rPr>
          <w:lang w:val="en-IE"/>
        </w:rPr>
      </w:pPr>
      <w:r w:rsidRPr="00230876">
        <w:rPr>
          <w:rStyle w:val="FootnoteReference"/>
        </w:rPr>
        <w:footnoteRef/>
      </w:r>
      <w:r w:rsidRPr="00230876">
        <w:t xml:space="preserve"> </w:t>
      </w:r>
      <w:r w:rsidRPr="00230876">
        <w:rPr>
          <w:lang w:val="en-IE"/>
        </w:rPr>
        <w:tab/>
      </w:r>
      <w:r>
        <w:rPr>
          <w:lang w:val="en-IE"/>
        </w:rPr>
        <w:t>OECD (2023) and GRECO (2025) recommended in particular to strengthen the oversight and enforcement role of the Commissioner for Standards, regulate lobbying, and fully apply existing rules to persons of trust.</w:t>
      </w:r>
    </w:p>
  </w:footnote>
  <w:footnote w:id="103">
    <w:p w14:paraId="77358D6B" w14:textId="77777777" w:rsidR="002F67B6" w:rsidRPr="00230876" w:rsidRDefault="002F67B6" w:rsidP="002F67B6">
      <w:pPr>
        <w:pStyle w:val="FootnoteText"/>
      </w:pPr>
      <w:r w:rsidRPr="00230876">
        <w:rPr>
          <w:rStyle w:val="FootnoteReference"/>
        </w:rPr>
        <w:footnoteRef/>
      </w:r>
      <w:r w:rsidRPr="00230876">
        <w:t xml:space="preserve"> </w:t>
      </w:r>
      <w:r w:rsidRPr="00230876">
        <w:tab/>
        <w:t>Maltese Government (2026), written input, p. 38. The assessment related to the topic of Milestone 6.14 in the Rule of Law report does not prejudge the assessment of the fulfilment of the measures in the framework of Malta’s Recovery and Resilience Plan.</w:t>
      </w:r>
    </w:p>
  </w:footnote>
  <w:footnote w:id="104">
    <w:p w14:paraId="5C7F3C74" w14:textId="270B68E3" w:rsidR="002F67B6" w:rsidRPr="00230876" w:rsidRDefault="002F67B6" w:rsidP="002F67B6">
      <w:pPr>
        <w:pStyle w:val="FootnoteText"/>
      </w:pPr>
      <w:r w:rsidRPr="00230876">
        <w:rPr>
          <w:rStyle w:val="FootnoteReference"/>
        </w:rPr>
        <w:footnoteRef/>
      </w:r>
      <w:r w:rsidRPr="00230876">
        <w:t xml:space="preserve"> </w:t>
      </w:r>
      <w:r w:rsidRPr="00230876">
        <w:tab/>
        <w:t>In 2025, two reports were submitted via internal channels and 18 via external channels (for all cases, not only corruption-related ones). Country visit Malta, Maltese Government.</w:t>
      </w:r>
    </w:p>
  </w:footnote>
  <w:footnote w:id="105">
    <w:p w14:paraId="183F0E47" w14:textId="7F4CB8BC" w:rsidR="002F67B6" w:rsidRPr="00230876" w:rsidRDefault="002F67B6" w:rsidP="002F67B6">
      <w:pPr>
        <w:pStyle w:val="FootnoteText"/>
      </w:pPr>
      <w:r w:rsidRPr="00230876">
        <w:rPr>
          <w:rStyle w:val="FootnoteReference"/>
        </w:rPr>
        <w:footnoteRef/>
      </w:r>
      <w:r w:rsidRPr="00230876">
        <w:t xml:space="preserve"> </w:t>
      </w:r>
      <w:r w:rsidRPr="00230876">
        <w:tab/>
        <w:t xml:space="preserve">Country visit Malta, Maltese Government, PCAC. OSCE (2025), p. 17. Repubblika (2026), written </w:t>
      </w:r>
      <w:r>
        <w:t>input</w:t>
      </w:r>
      <w:r w:rsidRPr="00230876">
        <w:t>, p.</w:t>
      </w:r>
      <w:r>
        <w:t> </w:t>
      </w:r>
      <w:r w:rsidRPr="00230876">
        <w:t>31.</w:t>
      </w:r>
    </w:p>
  </w:footnote>
  <w:footnote w:id="106">
    <w:p w14:paraId="46136EFE" w14:textId="0056CF24" w:rsidR="002F67B6" w:rsidRPr="00230876" w:rsidRDefault="002F67B6" w:rsidP="002F67B6">
      <w:pPr>
        <w:pStyle w:val="FootnoteText"/>
      </w:pPr>
      <w:r w:rsidRPr="00230876">
        <w:rPr>
          <w:rStyle w:val="FootnoteReference"/>
        </w:rPr>
        <w:footnoteRef/>
      </w:r>
      <w:r w:rsidRPr="00230876">
        <w:t xml:space="preserve"> </w:t>
      </w:r>
      <w:r w:rsidRPr="00230876">
        <w:tab/>
        <w:t xml:space="preserve">PCAC (2026), written </w:t>
      </w:r>
      <w:r>
        <w:t>input</w:t>
      </w:r>
      <w:r w:rsidRPr="00230876">
        <w:t>, p. 6. Country visit Malta, Maltese Government.</w:t>
      </w:r>
    </w:p>
  </w:footnote>
  <w:footnote w:id="107">
    <w:p w14:paraId="7295DEC3" w14:textId="0F9ABFDA" w:rsidR="002F67B6" w:rsidRPr="00CB043D" w:rsidRDefault="002F67B6" w:rsidP="002F67B6">
      <w:pPr>
        <w:pStyle w:val="FootnoteText"/>
        <w:rPr>
          <w:lang w:val="en-IE"/>
        </w:rPr>
      </w:pPr>
      <w:r w:rsidRPr="00230876">
        <w:rPr>
          <w:rStyle w:val="FootnoteReference"/>
        </w:rPr>
        <w:footnoteRef/>
      </w:r>
      <w:r w:rsidRPr="00CB043D">
        <w:rPr>
          <w:lang w:val="en-IE"/>
        </w:rPr>
        <w:t xml:space="preserve"> </w:t>
      </w:r>
      <w:r w:rsidRPr="00CB043D">
        <w:rPr>
          <w:lang w:val="en-IE"/>
        </w:rPr>
        <w:tab/>
        <w:t xml:space="preserve">Repubblika (2026), written </w:t>
      </w:r>
      <w:r w:rsidRPr="00CB043D">
        <w:t>input</w:t>
      </w:r>
      <w:r w:rsidRPr="00CB043D">
        <w:rPr>
          <w:lang w:val="en-IE"/>
        </w:rPr>
        <w:t>, pp. 31-32. OSCE (2025), p. 17.</w:t>
      </w:r>
    </w:p>
  </w:footnote>
  <w:footnote w:id="108">
    <w:p w14:paraId="7A8FCC88" w14:textId="12CA9594" w:rsidR="002F67B6" w:rsidRPr="00230876" w:rsidRDefault="002F67B6" w:rsidP="002F67B6">
      <w:pPr>
        <w:pStyle w:val="FootnoteText"/>
      </w:pPr>
      <w:r w:rsidRPr="00230876">
        <w:rPr>
          <w:rStyle w:val="FootnoteReference"/>
        </w:rPr>
        <w:footnoteRef/>
      </w:r>
      <w:r w:rsidRPr="00230876">
        <w:t xml:space="preserve"> </w:t>
      </w:r>
      <w:r w:rsidRPr="00230876">
        <w:tab/>
        <w:t>GRECO (2025), p. 22.</w:t>
      </w:r>
    </w:p>
  </w:footnote>
  <w:footnote w:id="109">
    <w:p w14:paraId="79A67A9C" w14:textId="273A23D4" w:rsidR="002F67B6" w:rsidRPr="00230876" w:rsidRDefault="002F67B6" w:rsidP="002F67B6">
      <w:pPr>
        <w:pStyle w:val="FootnoteText"/>
      </w:pPr>
      <w:r w:rsidRPr="00230876">
        <w:rPr>
          <w:rStyle w:val="FootnoteReference"/>
        </w:rPr>
        <w:footnoteRef/>
      </w:r>
      <w:r w:rsidRPr="00230876">
        <w:t xml:space="preserve"> </w:t>
      </w:r>
      <w:r w:rsidRPr="00230876">
        <w:tab/>
      </w:r>
      <w:r>
        <w:t>2025 Rule of Law Report, Malta, p. 9.</w:t>
      </w:r>
    </w:p>
  </w:footnote>
  <w:footnote w:id="110">
    <w:p w14:paraId="02BAA099" w14:textId="13AFAE76" w:rsidR="002F67B6" w:rsidRPr="00230876" w:rsidRDefault="002F67B6" w:rsidP="002F67B6">
      <w:pPr>
        <w:pStyle w:val="FootnoteText"/>
      </w:pPr>
      <w:r w:rsidRPr="00230876">
        <w:rPr>
          <w:rStyle w:val="FootnoteReference"/>
        </w:rPr>
        <w:footnoteRef/>
      </w:r>
      <w:r w:rsidRPr="00230876">
        <w:t xml:space="preserve"> </w:t>
      </w:r>
      <w:r w:rsidRPr="00230876">
        <w:tab/>
        <w:t xml:space="preserve">Court of Justice of the European Union, </w:t>
      </w:r>
      <w:r w:rsidRPr="0009262D">
        <w:t xml:space="preserve">judgment of </w:t>
      </w:r>
      <w:r>
        <w:t>29 April 2025</w:t>
      </w:r>
      <w:r w:rsidRPr="00230876">
        <w:t xml:space="preserve">, </w:t>
      </w:r>
      <w:r w:rsidRPr="000132EC">
        <w:rPr>
          <w:i/>
        </w:rPr>
        <w:t>Commission v Malta (Citizenship by investment)</w:t>
      </w:r>
      <w:r w:rsidRPr="00230876">
        <w:t>, case C-181/23.</w:t>
      </w:r>
    </w:p>
  </w:footnote>
  <w:footnote w:id="111">
    <w:p w14:paraId="4CAFACAD" w14:textId="7549313A" w:rsidR="002F67B6" w:rsidRPr="00230876" w:rsidRDefault="002F67B6" w:rsidP="002F67B6">
      <w:pPr>
        <w:pStyle w:val="FootnoteText"/>
      </w:pPr>
      <w:r w:rsidRPr="00230876">
        <w:rPr>
          <w:rStyle w:val="FootnoteReference"/>
        </w:rPr>
        <w:footnoteRef/>
      </w:r>
      <w:r w:rsidRPr="00230876">
        <w:t xml:space="preserve"> </w:t>
      </w:r>
      <w:r w:rsidRPr="00230876">
        <w:tab/>
      </w:r>
      <w:r w:rsidRPr="00230876">
        <w:rPr>
          <w:szCs w:val="24"/>
        </w:rPr>
        <w:t>Maltese Citizenship (Amendment) Act (Act XXI of 2025) amending the Maltese Citizenship Act, and Granting of Citizenship for Exceptional Services (Amendment) Regulations, 2025</w:t>
      </w:r>
      <w:r w:rsidR="0040793C">
        <w:rPr>
          <w:szCs w:val="24"/>
        </w:rPr>
        <w:t xml:space="preserve"> as well as</w:t>
      </w:r>
      <w:r w:rsidRPr="00230876">
        <w:rPr>
          <w:szCs w:val="24"/>
        </w:rPr>
        <w:t xml:space="preserve"> Legal Notice</w:t>
      </w:r>
      <w:r w:rsidR="0040793C">
        <w:rPr>
          <w:szCs w:val="24"/>
        </w:rPr>
        <w:t>s</w:t>
      </w:r>
      <w:r w:rsidRPr="00230876">
        <w:rPr>
          <w:szCs w:val="24"/>
        </w:rPr>
        <w:t xml:space="preserve"> 159</w:t>
      </w:r>
      <w:r w:rsidR="00AD5422">
        <w:rPr>
          <w:szCs w:val="24"/>
        </w:rPr>
        <w:t xml:space="preserve"> and 276</w:t>
      </w:r>
      <w:r w:rsidRPr="00230876">
        <w:rPr>
          <w:szCs w:val="24"/>
        </w:rPr>
        <w:t xml:space="preserve"> of 2025</w:t>
      </w:r>
      <w:r w:rsidR="00AD5422">
        <w:rPr>
          <w:szCs w:val="24"/>
        </w:rPr>
        <w:t xml:space="preserve"> and</w:t>
      </w:r>
      <w:r w:rsidR="00283FF0">
        <w:rPr>
          <w:szCs w:val="24"/>
        </w:rPr>
        <w:t xml:space="preserve"> Legal Notices</w:t>
      </w:r>
      <w:r w:rsidR="00AD5422">
        <w:rPr>
          <w:szCs w:val="24"/>
        </w:rPr>
        <w:t xml:space="preserve"> 58, 59 and 60 of 2026</w:t>
      </w:r>
      <w:r w:rsidRPr="00230876">
        <w:t>.</w:t>
      </w:r>
      <w:r w:rsidR="00005F35">
        <w:t xml:space="preserve"> </w:t>
      </w:r>
    </w:p>
  </w:footnote>
  <w:footnote w:id="112">
    <w:p w14:paraId="0A80514E" w14:textId="26F9A54A" w:rsidR="002F67B6" w:rsidRPr="00230876" w:rsidRDefault="002F67B6" w:rsidP="002F67B6">
      <w:pPr>
        <w:pStyle w:val="FootnoteText"/>
      </w:pPr>
      <w:r w:rsidRPr="00230876">
        <w:rPr>
          <w:rStyle w:val="FootnoteReference"/>
        </w:rPr>
        <w:footnoteRef/>
      </w:r>
      <w:r w:rsidRPr="00230876">
        <w:t xml:space="preserve"> </w:t>
      </w:r>
      <w:r w:rsidRPr="00230876">
        <w:tab/>
        <w:t xml:space="preserve">Flash Eurobarometer </w:t>
      </w:r>
      <w:r w:rsidRPr="00361496">
        <w:t xml:space="preserve">582 on Businesses’ attitudes towards corruption in the EU (2026). This is </w:t>
      </w:r>
      <w:r>
        <w:t>19</w:t>
      </w:r>
      <w:r w:rsidRPr="00361496">
        <w:t xml:space="preserve"> percentage points above the EU average</w:t>
      </w:r>
      <w:r w:rsidR="003F73DA">
        <w:t>.</w:t>
      </w:r>
    </w:p>
  </w:footnote>
  <w:footnote w:id="113">
    <w:p w14:paraId="77BBC964" w14:textId="77777777" w:rsidR="002F67B6" w:rsidRPr="0045185B" w:rsidRDefault="002F67B6" w:rsidP="002F67B6">
      <w:pPr>
        <w:pStyle w:val="FootnoteText"/>
        <w:rPr>
          <w:lang w:val="en-IE"/>
        </w:rPr>
      </w:pPr>
      <w:r w:rsidRPr="00230876">
        <w:rPr>
          <w:rStyle w:val="FootnoteReference"/>
        </w:rPr>
        <w:footnoteRef/>
      </w:r>
      <w:r w:rsidRPr="0045185B">
        <w:rPr>
          <w:lang w:val="en-IE"/>
        </w:rPr>
        <w:t xml:space="preserve"> </w:t>
      </w:r>
      <w:r w:rsidRPr="0045185B">
        <w:rPr>
          <w:lang w:val="en-IE"/>
        </w:rPr>
        <w:tab/>
        <w:t>Figure 59, 2026 EU Justice Scoreboard.</w:t>
      </w:r>
    </w:p>
  </w:footnote>
  <w:footnote w:id="114">
    <w:p w14:paraId="7A29FA09" w14:textId="35081A6B" w:rsidR="002F67B6" w:rsidRPr="00230876" w:rsidRDefault="002F67B6" w:rsidP="002F67B6">
      <w:pPr>
        <w:pStyle w:val="FootnoteText"/>
      </w:pPr>
      <w:r w:rsidRPr="00230876">
        <w:rPr>
          <w:rStyle w:val="FootnoteReference"/>
        </w:rPr>
        <w:footnoteRef/>
      </w:r>
      <w:r w:rsidRPr="00230876">
        <w:t xml:space="preserve"> </w:t>
      </w:r>
      <w:r w:rsidRPr="00230876">
        <w:tab/>
        <w:t xml:space="preserve">Maltese Government (2026), written </w:t>
      </w:r>
      <w:r>
        <w:t>input</w:t>
      </w:r>
      <w:r w:rsidRPr="00230876">
        <w:t xml:space="preserve">, </w:t>
      </w:r>
      <w:r w:rsidRPr="00E7192F">
        <w:t>p. 38.</w:t>
      </w:r>
      <w:r w:rsidR="00320DBE" w:rsidRPr="00E7192F">
        <w:t xml:space="preserve"> The Government underline</w:t>
      </w:r>
      <w:r w:rsidR="00464369" w:rsidRPr="00352C6F">
        <w:t>d</w:t>
      </w:r>
      <w:r w:rsidR="00320DBE" w:rsidRPr="00E7192F">
        <w:t xml:space="preserve"> that members of tender evaluation committees remain bound by a declaration of impartiality and confidentiality</w:t>
      </w:r>
      <w:r w:rsidR="00E93E97" w:rsidRPr="00E7192F">
        <w:t xml:space="preserve">. </w:t>
      </w:r>
      <w:r w:rsidR="005065FA" w:rsidRPr="00E7192F">
        <w:t>Maltese</w:t>
      </w:r>
      <w:r w:rsidR="005065FA">
        <w:t xml:space="preserve"> Government (2026</w:t>
      </w:r>
      <w:r w:rsidR="00326C1D">
        <w:t>a</w:t>
      </w:r>
      <w:r w:rsidR="005065FA">
        <w:t xml:space="preserve">), additional written input. </w:t>
      </w:r>
    </w:p>
  </w:footnote>
  <w:footnote w:id="115">
    <w:p w14:paraId="376A1D16" w14:textId="6E937A1A" w:rsidR="002F67B6" w:rsidRPr="00230876" w:rsidRDefault="002F67B6" w:rsidP="002F67B6">
      <w:pPr>
        <w:pStyle w:val="FootnoteText"/>
      </w:pPr>
      <w:r w:rsidRPr="00230876">
        <w:rPr>
          <w:rStyle w:val="FootnoteReference"/>
        </w:rPr>
        <w:footnoteRef/>
      </w:r>
      <w:r w:rsidR="003F73DA">
        <w:t xml:space="preserve"> </w:t>
      </w:r>
      <w:r w:rsidR="003F73DA">
        <w:tab/>
      </w:r>
      <w:r w:rsidRPr="00230876">
        <w:t>NAO’s budget increased from EUR 4</w:t>
      </w:r>
      <w:r>
        <w:t> </w:t>
      </w:r>
      <w:r w:rsidRPr="00230876">
        <w:t>000</w:t>
      </w:r>
      <w:r>
        <w:rPr>
          <w:lang w:val="mt-MT"/>
        </w:rPr>
        <w:t> </w:t>
      </w:r>
      <w:r w:rsidRPr="00230876">
        <w:t>000 in 2024 to EUR 5</w:t>
      </w:r>
      <w:r>
        <w:t> </w:t>
      </w:r>
      <w:r w:rsidRPr="00230876">
        <w:t>950</w:t>
      </w:r>
      <w:r>
        <w:t> </w:t>
      </w:r>
      <w:r w:rsidRPr="00230876">
        <w:t>000 in 2025; IAID’s budget increased from EUR 2</w:t>
      </w:r>
      <w:r>
        <w:t> </w:t>
      </w:r>
      <w:r w:rsidRPr="00230876">
        <w:t>559</w:t>
      </w:r>
      <w:r>
        <w:t> </w:t>
      </w:r>
      <w:r w:rsidRPr="00230876">
        <w:t xml:space="preserve">700 to </w:t>
      </w:r>
      <w:r>
        <w:t xml:space="preserve">EUR </w:t>
      </w:r>
      <w:r w:rsidRPr="00230876">
        <w:t>3</w:t>
      </w:r>
      <w:r>
        <w:t> </w:t>
      </w:r>
      <w:r w:rsidRPr="00230876">
        <w:t>215</w:t>
      </w:r>
      <w:r>
        <w:t> </w:t>
      </w:r>
      <w:r w:rsidRPr="00230876">
        <w:t>900 in 2025. Maltese Government (2026), written input, p. 35.</w:t>
      </w:r>
    </w:p>
  </w:footnote>
  <w:footnote w:id="116">
    <w:p w14:paraId="7CEAAB88" w14:textId="7C1D8398" w:rsidR="002F67B6" w:rsidRPr="00230876" w:rsidRDefault="002F67B6" w:rsidP="002F67B6">
      <w:pPr>
        <w:pStyle w:val="FootnoteText"/>
      </w:pPr>
      <w:r w:rsidRPr="00230876">
        <w:rPr>
          <w:rStyle w:val="FootnoteReference"/>
        </w:rPr>
        <w:footnoteRef/>
      </w:r>
      <w:r w:rsidRPr="00230876">
        <w:t xml:space="preserve"> </w:t>
      </w:r>
      <w:r w:rsidRPr="00230876">
        <w:tab/>
        <w:t>Country visit Malta, Maltese Government.</w:t>
      </w:r>
    </w:p>
  </w:footnote>
  <w:footnote w:id="117">
    <w:p w14:paraId="51C378BE" w14:textId="77777777" w:rsidR="002F67B6" w:rsidRPr="00230876" w:rsidRDefault="002F67B6" w:rsidP="002F67B6">
      <w:pPr>
        <w:pStyle w:val="FootnoteText"/>
      </w:pPr>
      <w:r w:rsidRPr="00230876">
        <w:rPr>
          <w:rStyle w:val="FootnoteReference"/>
        </w:rPr>
        <w:footnoteRef/>
      </w:r>
      <w:r w:rsidRPr="00230876">
        <w:t xml:space="preserve"> </w:t>
      </w:r>
      <w:r w:rsidRPr="00230876">
        <w:tab/>
        <w:t xml:space="preserve">Chamber of Commerce (2026), written input, p. 19. Repubblika (2026), written input, p. 33. </w:t>
      </w:r>
      <w:r>
        <w:t xml:space="preserve">The </w:t>
      </w:r>
      <w:r w:rsidRPr="00230876">
        <w:t>2025 Rule of Law Report, Malta, p. 10</w:t>
      </w:r>
      <w:r>
        <w:t>,</w:t>
      </w:r>
      <w:r w:rsidRPr="00DA45C5">
        <w:t xml:space="preserve"> noted instances of public procurement regulations being bypassed.</w:t>
      </w:r>
    </w:p>
  </w:footnote>
  <w:footnote w:id="118">
    <w:p w14:paraId="52FBE012" w14:textId="008D9B18" w:rsidR="002F67B6" w:rsidRPr="00230876" w:rsidRDefault="002F67B6" w:rsidP="002F67B6">
      <w:pPr>
        <w:pStyle w:val="FootnoteText"/>
      </w:pPr>
      <w:r w:rsidRPr="00230876">
        <w:rPr>
          <w:rStyle w:val="FootnoteReference"/>
        </w:rPr>
        <w:footnoteRef/>
      </w:r>
      <w:r w:rsidRPr="00230876">
        <w:t xml:space="preserve"> </w:t>
      </w:r>
      <w:r w:rsidRPr="00230876">
        <w:tab/>
        <w:t xml:space="preserve">Chamber of Commerce (2026), written input, p. 7. Repubblika (2026), written input, p. 33. Country visit Malta, </w:t>
      </w:r>
      <w:r>
        <w:t>National Audit Office</w:t>
      </w:r>
      <w:r w:rsidRPr="00230876">
        <w:t>.</w:t>
      </w:r>
    </w:p>
  </w:footnote>
  <w:footnote w:id="119">
    <w:p w14:paraId="23D00495" w14:textId="078535C2" w:rsidR="002F67B6" w:rsidRPr="00230876" w:rsidRDefault="002F67B6" w:rsidP="002F67B6">
      <w:pPr>
        <w:pStyle w:val="FootnoteText"/>
      </w:pPr>
      <w:r w:rsidRPr="00230876">
        <w:rPr>
          <w:rStyle w:val="FootnoteReference"/>
        </w:rPr>
        <w:footnoteRef/>
      </w:r>
      <w:r w:rsidRPr="00230876">
        <w:t xml:space="preserve"> </w:t>
      </w:r>
      <w:r w:rsidRPr="00230876">
        <w:tab/>
      </w:r>
      <w:r w:rsidRPr="0009262D">
        <w:t>Bills 143 and 144</w:t>
      </w:r>
      <w:r>
        <w:t xml:space="preserve">, see pp. 6-7. </w:t>
      </w:r>
      <w:r w:rsidRPr="00230876">
        <w:t xml:space="preserve">House of Representatives (2025a, </w:t>
      </w:r>
      <w:r>
        <w:t>2025</w:t>
      </w:r>
      <w:r w:rsidRPr="00230876">
        <w:t xml:space="preserve">b). </w:t>
      </w:r>
      <w:r>
        <w:t xml:space="preserve">According to stakeholders, the reforms would further expand administrative discretion and reduce judicial oversight, increasing the risk of undue influence on planning decisions. </w:t>
      </w:r>
      <w:r w:rsidRPr="00230876">
        <w:t xml:space="preserve">Repubblika (2026), written input, p. 33. Moviment Graffitti (2026). </w:t>
      </w:r>
      <w:r w:rsidR="00727D29" w:rsidRPr="0009262D">
        <w:t>Bills 143 and 144</w:t>
      </w:r>
      <w:r w:rsidR="00727D29">
        <w:t xml:space="preserve"> </w:t>
      </w:r>
      <w:r w:rsidR="003E3A6F" w:rsidRPr="00E4282F">
        <w:rPr>
          <w:rFonts w:eastAsiaTheme="minorHAnsi" w:cstheme="minorBidi"/>
          <w:szCs w:val="22"/>
          <w:lang w:val="en-US" w:eastAsia="en-US"/>
        </w:rPr>
        <w:t>expired following the dissolution of Parliament in April</w:t>
      </w:r>
      <w:r w:rsidR="00B82004">
        <w:rPr>
          <w:rFonts w:eastAsiaTheme="minorHAnsi" w:cstheme="minorBidi"/>
          <w:szCs w:val="22"/>
          <w:lang w:val="en-US" w:eastAsia="en-US"/>
        </w:rPr>
        <w:t xml:space="preserve"> 2026</w:t>
      </w:r>
      <w:r w:rsidR="003E3A6F">
        <w:rPr>
          <w:rFonts w:eastAsiaTheme="minorHAnsi" w:cstheme="minorBidi"/>
          <w:szCs w:val="22"/>
          <w:lang w:val="en-US" w:eastAsia="en-US"/>
        </w:rPr>
        <w:t>.</w:t>
      </w:r>
    </w:p>
  </w:footnote>
  <w:footnote w:id="120">
    <w:p w14:paraId="7E4C8D22" w14:textId="2DAAFFD7" w:rsidR="002F67B6" w:rsidRPr="00230876" w:rsidRDefault="002F67B6" w:rsidP="002F67B6">
      <w:pPr>
        <w:pStyle w:val="FootnoteText"/>
      </w:pPr>
      <w:r w:rsidRPr="00230876">
        <w:rPr>
          <w:rStyle w:val="FootnoteReference"/>
        </w:rPr>
        <w:footnoteRef/>
      </w:r>
      <w:r w:rsidR="003F73DA">
        <w:t xml:space="preserve"> </w:t>
      </w:r>
      <w:r w:rsidR="003F73DA">
        <w:tab/>
      </w:r>
      <w:r w:rsidRPr="00230876">
        <w:t>The European Media Freedom Act (Measures for Implementation) Order</w:t>
      </w:r>
      <w:r>
        <w:t xml:space="preserve"> (</w:t>
      </w:r>
      <w:r w:rsidRPr="00230876">
        <w:t>Legal Notice 175 of 2025</w:t>
      </w:r>
      <w:r>
        <w:t>)</w:t>
      </w:r>
      <w:r w:rsidRPr="00230876">
        <w:t>, which among others amends the Broadcasting Act (Cap</w:t>
      </w:r>
      <w:r>
        <w:t>.</w:t>
      </w:r>
      <w:r w:rsidRPr="00230876">
        <w:t xml:space="preserve"> 350), and the Media and Defamation Act (Cap.</w:t>
      </w:r>
      <w:r w:rsidR="00A65A1B">
        <w:t> </w:t>
      </w:r>
      <w:r w:rsidRPr="00230876">
        <w:t>579).</w:t>
      </w:r>
      <w:r>
        <w:t xml:space="preserve"> The legal nature of legal notices is explained at footnote </w:t>
      </w:r>
      <w:r w:rsidRPr="00A146FD">
        <w:t>1</w:t>
      </w:r>
      <w:r w:rsidR="00A65A1B" w:rsidRPr="00A146FD">
        <w:t>50</w:t>
      </w:r>
      <w:r w:rsidRPr="00817E56">
        <w:t>.</w:t>
      </w:r>
    </w:p>
  </w:footnote>
  <w:footnote w:id="121">
    <w:p w14:paraId="59CF5CB8" w14:textId="3CFF735B" w:rsidR="002F67B6" w:rsidRPr="00723CF6" w:rsidRDefault="002F67B6" w:rsidP="002F67B6">
      <w:pPr>
        <w:pStyle w:val="FootnoteText"/>
        <w:rPr>
          <w:lang w:val="en-IE"/>
        </w:rPr>
      </w:pPr>
      <w:r w:rsidRPr="00230876">
        <w:rPr>
          <w:rStyle w:val="FootnoteReference"/>
        </w:rPr>
        <w:footnoteRef/>
      </w:r>
      <w:r w:rsidR="003F73DA" w:rsidRPr="00723CF6">
        <w:rPr>
          <w:lang w:val="en-IE"/>
        </w:rPr>
        <w:t xml:space="preserve"> </w:t>
      </w:r>
      <w:r w:rsidR="003F73DA" w:rsidRPr="00723CF6">
        <w:rPr>
          <w:lang w:val="en-IE"/>
        </w:rPr>
        <w:tab/>
      </w:r>
      <w:r w:rsidRPr="00723CF6">
        <w:rPr>
          <w:lang w:val="en-IE"/>
        </w:rPr>
        <w:t>Media Pluralism Monitor (2026), pp. 21-24.</w:t>
      </w:r>
    </w:p>
  </w:footnote>
  <w:footnote w:id="122">
    <w:p w14:paraId="0324D2FE" w14:textId="4683F42D" w:rsidR="002F67B6" w:rsidRPr="00723CF6" w:rsidRDefault="002F67B6" w:rsidP="002F67B6">
      <w:pPr>
        <w:pStyle w:val="FootnoteText"/>
        <w:rPr>
          <w:lang w:val="en-IE"/>
        </w:rPr>
      </w:pPr>
      <w:r w:rsidRPr="00230876">
        <w:rPr>
          <w:rStyle w:val="FootnoteReference"/>
        </w:rPr>
        <w:footnoteRef/>
      </w:r>
      <w:r w:rsidR="003F73DA" w:rsidRPr="00723CF6">
        <w:rPr>
          <w:lang w:val="en-IE"/>
        </w:rPr>
        <w:t xml:space="preserve"> </w:t>
      </w:r>
      <w:r w:rsidR="003F73DA" w:rsidRPr="00723CF6">
        <w:rPr>
          <w:lang w:val="en-IE"/>
        </w:rPr>
        <w:tab/>
      </w:r>
      <w:r w:rsidRPr="00723CF6">
        <w:rPr>
          <w:lang w:val="en-IE"/>
        </w:rPr>
        <w:t>Media Pluralism Monitor (2026), pp. 41-42.</w:t>
      </w:r>
    </w:p>
  </w:footnote>
  <w:footnote w:id="123">
    <w:p w14:paraId="36BF0D13" w14:textId="2D4F1A91" w:rsidR="002F67B6" w:rsidRPr="000132EC" w:rsidRDefault="002F67B6" w:rsidP="002F67B6">
      <w:pPr>
        <w:pStyle w:val="FootnoteText"/>
        <w:rPr>
          <w:lang w:val="en-IE"/>
        </w:rPr>
      </w:pPr>
      <w:r w:rsidRPr="00230876">
        <w:rPr>
          <w:rStyle w:val="FootnoteReference"/>
        </w:rPr>
        <w:footnoteRef/>
      </w:r>
      <w:r w:rsidR="003F73DA">
        <w:rPr>
          <w:lang w:val="en-IE"/>
        </w:rPr>
        <w:t xml:space="preserve"> </w:t>
      </w:r>
      <w:r w:rsidR="003F73DA">
        <w:rPr>
          <w:lang w:val="en-IE"/>
        </w:rPr>
        <w:tab/>
      </w:r>
      <w:r w:rsidRPr="000132EC">
        <w:rPr>
          <w:lang w:val="en-IE"/>
        </w:rPr>
        <w:t>Media Pluralism Monitor (2026), p</w:t>
      </w:r>
      <w:r>
        <w:rPr>
          <w:lang w:val="en-IE"/>
        </w:rPr>
        <w:t>p</w:t>
      </w:r>
      <w:r w:rsidRPr="000132EC">
        <w:rPr>
          <w:lang w:val="en-IE"/>
        </w:rPr>
        <w:t>.</w:t>
      </w:r>
      <w:r>
        <w:rPr>
          <w:lang w:val="en-IE"/>
        </w:rPr>
        <w:t xml:space="preserve"> 26-27.</w:t>
      </w:r>
    </w:p>
  </w:footnote>
  <w:footnote w:id="124">
    <w:p w14:paraId="5A657196" w14:textId="22E04059" w:rsidR="002F67B6" w:rsidRPr="00230876" w:rsidRDefault="002F67B6" w:rsidP="002F67B6">
      <w:pPr>
        <w:pStyle w:val="FootnoteText"/>
      </w:pPr>
      <w:r w:rsidRPr="00230876">
        <w:rPr>
          <w:rStyle w:val="FootnoteReference"/>
        </w:rPr>
        <w:footnoteRef/>
      </w:r>
      <w:r w:rsidR="003F73DA">
        <w:t xml:space="preserve"> </w:t>
      </w:r>
      <w:r w:rsidR="003F73DA">
        <w:tab/>
      </w:r>
      <w:r w:rsidRPr="00230876">
        <w:rPr>
          <w:lang w:eastAsia="fr-FR"/>
        </w:rPr>
        <w:t xml:space="preserve">The 2025 Rule of Law Report recommended to Malta to ‘[s]trengthen the rules and mechanisms to enhance the independent governance and editorial independence of public service media taking into account European standards on public service media’. </w:t>
      </w:r>
      <w:r w:rsidRPr="00230876">
        <w:t>No progress was previously assessed on this recommendation in 2025, 2024 and 2023.</w:t>
      </w:r>
    </w:p>
  </w:footnote>
  <w:footnote w:id="125">
    <w:p w14:paraId="00C3769D" w14:textId="3A321D24" w:rsidR="002F67B6" w:rsidRPr="00230876" w:rsidRDefault="002F67B6" w:rsidP="002F67B6">
      <w:pPr>
        <w:pStyle w:val="FootnoteText"/>
      </w:pPr>
      <w:r w:rsidRPr="00230876">
        <w:rPr>
          <w:rStyle w:val="FootnoteReference"/>
        </w:rPr>
        <w:footnoteRef/>
      </w:r>
      <w:r w:rsidR="003F73DA">
        <w:t xml:space="preserve"> </w:t>
      </w:r>
      <w:r w:rsidR="003F73DA">
        <w:tab/>
      </w:r>
      <w:r w:rsidRPr="00230876">
        <w:t xml:space="preserve">The Committee of Experts on Media set up by the government delivered its </w:t>
      </w:r>
      <w:r w:rsidR="00F0140B" w:rsidRPr="00230876">
        <w:t xml:space="preserve">final report </w:t>
      </w:r>
      <w:r w:rsidRPr="00230876">
        <w:t>on 24 July 2023</w:t>
      </w:r>
      <w:r w:rsidR="00F0140B">
        <w:t>.</w:t>
      </w:r>
      <w:r w:rsidRPr="00230876">
        <w:t xml:space="preserve"> </w:t>
      </w:r>
      <w:r w:rsidR="00F0140B">
        <w:t>The final report</w:t>
      </w:r>
      <w:r w:rsidR="00F0140B" w:rsidRPr="00230876">
        <w:t xml:space="preserve"> </w:t>
      </w:r>
      <w:r w:rsidRPr="00230876">
        <w:t>contains a specific recommendation in relation to public service broadcasting.</w:t>
      </w:r>
    </w:p>
  </w:footnote>
  <w:footnote w:id="126">
    <w:p w14:paraId="65AA26D2" w14:textId="0049CC4A" w:rsidR="002F67B6" w:rsidRPr="00230876" w:rsidRDefault="002F67B6" w:rsidP="002F67B6">
      <w:pPr>
        <w:pStyle w:val="FootnoteText"/>
      </w:pPr>
      <w:r w:rsidRPr="00230876">
        <w:rPr>
          <w:rStyle w:val="FootnoteReference"/>
        </w:rPr>
        <w:footnoteRef/>
      </w:r>
      <w:r w:rsidR="003F73DA">
        <w:t xml:space="preserve"> </w:t>
      </w:r>
      <w:r w:rsidR="003F73DA">
        <w:tab/>
      </w:r>
      <w:r w:rsidRPr="00230876">
        <w:t>Articles 11</w:t>
      </w:r>
      <w:r>
        <w:t>-</w:t>
      </w:r>
      <w:r w:rsidRPr="00230876">
        <w:t>13 of Legal Notice 175 of 2025.</w:t>
      </w:r>
    </w:p>
  </w:footnote>
  <w:footnote w:id="127">
    <w:p w14:paraId="4BA03290" w14:textId="21CBACB4" w:rsidR="002F67B6" w:rsidRPr="00230876" w:rsidRDefault="002F67B6" w:rsidP="002F67B6">
      <w:pPr>
        <w:pStyle w:val="FootnoteText"/>
        <w:rPr>
          <w:lang w:val="en-IE"/>
        </w:rPr>
      </w:pPr>
      <w:r w:rsidRPr="00230876">
        <w:rPr>
          <w:rStyle w:val="FootnoteReference"/>
        </w:rPr>
        <w:footnoteRef/>
      </w:r>
      <w:r w:rsidR="003F73DA">
        <w:t xml:space="preserve"> </w:t>
      </w:r>
      <w:r w:rsidR="003F73DA">
        <w:tab/>
      </w:r>
      <w:r w:rsidRPr="00230876">
        <w:rPr>
          <w:lang w:val="en-IE"/>
        </w:rPr>
        <w:t>Stakeholders have pointed out that a key role in this respect is played by the head of news at the Public Broadcasting Services. Country visit</w:t>
      </w:r>
      <w:r w:rsidRPr="00230876" w:rsidDel="004039A1">
        <w:rPr>
          <w:lang w:val="en-IE"/>
        </w:rPr>
        <w:t xml:space="preserve"> </w:t>
      </w:r>
      <w:r w:rsidRPr="00230876">
        <w:rPr>
          <w:lang w:val="en-IE"/>
        </w:rPr>
        <w:t>Malta, Repubblika.</w:t>
      </w:r>
    </w:p>
  </w:footnote>
  <w:footnote w:id="128">
    <w:p w14:paraId="5BC08F4F" w14:textId="3911DE53" w:rsidR="002F67B6" w:rsidRPr="00230876" w:rsidRDefault="002F67B6" w:rsidP="002F67B6">
      <w:pPr>
        <w:pStyle w:val="FootnoteText"/>
      </w:pPr>
      <w:r w:rsidRPr="00230876">
        <w:rPr>
          <w:rStyle w:val="FootnoteReference"/>
        </w:rPr>
        <w:footnoteRef/>
      </w:r>
      <w:r w:rsidR="003F73DA">
        <w:t xml:space="preserve"> </w:t>
      </w:r>
      <w:r w:rsidR="003F73DA">
        <w:tab/>
      </w:r>
      <w:r w:rsidRPr="00230876">
        <w:t>Media Pluralism Monitor (2026), p</w:t>
      </w:r>
      <w:r>
        <w:t>p</w:t>
      </w:r>
      <w:r w:rsidRPr="00230876">
        <w:t>.</w:t>
      </w:r>
      <w:r>
        <w:t xml:space="preserve"> 42-44.</w:t>
      </w:r>
    </w:p>
  </w:footnote>
  <w:footnote w:id="129">
    <w:p w14:paraId="0546B11B" w14:textId="26803C31" w:rsidR="002F67B6" w:rsidRPr="00230876" w:rsidRDefault="002F67B6" w:rsidP="002F67B6">
      <w:pPr>
        <w:pStyle w:val="FootnoteText"/>
      </w:pPr>
      <w:r w:rsidRPr="00230876">
        <w:rPr>
          <w:rStyle w:val="FootnoteReference"/>
        </w:rPr>
        <w:footnoteRef/>
      </w:r>
      <w:r w:rsidR="003F73DA">
        <w:t xml:space="preserve"> </w:t>
      </w:r>
      <w:r w:rsidR="003F73DA">
        <w:tab/>
      </w:r>
      <w:r w:rsidRPr="00230876">
        <w:rPr>
          <w:lang w:eastAsia="fr-FR"/>
        </w:rPr>
        <w:t>The 2025 Rule of Law Report recommended to Malta to ‘[a]dopt legislative and other safeguards to improve […] access to official documents, taking into account European standards on access to official documents’.</w:t>
      </w:r>
      <w:r w:rsidRPr="00230876">
        <w:t xml:space="preserve"> Limited progress was previously assessed on this in 2025, and no progress in 2024 and 2023.</w:t>
      </w:r>
    </w:p>
  </w:footnote>
  <w:footnote w:id="130">
    <w:p w14:paraId="0404FF67" w14:textId="446CDF21" w:rsidR="002F67B6" w:rsidRPr="00230876" w:rsidRDefault="002F67B6" w:rsidP="002F67B6">
      <w:pPr>
        <w:pStyle w:val="FootnoteText"/>
      </w:pPr>
      <w:r w:rsidRPr="00230876">
        <w:rPr>
          <w:rStyle w:val="FootnoteReference"/>
        </w:rPr>
        <w:footnoteRef/>
      </w:r>
      <w:r w:rsidR="003F73DA">
        <w:t xml:space="preserve"> </w:t>
      </w:r>
      <w:r w:rsidR="003F73DA">
        <w:tab/>
      </w:r>
      <w:hyperlink r:id="rId5" w:history="1">
        <w:r w:rsidR="003F73DA" w:rsidRPr="00882A16">
          <w:rPr>
            <w:rStyle w:val="Hyperlink"/>
            <w:lang w:eastAsia="fr-FR"/>
          </w:rPr>
          <w:t>https://foi.gov.mt/en/</w:t>
        </w:r>
      </w:hyperlink>
      <w:r>
        <w:rPr>
          <w:lang w:eastAsia="fr-FR"/>
        </w:rPr>
        <w:t xml:space="preserve">. </w:t>
      </w:r>
      <w:r w:rsidRPr="00230876">
        <w:t>Maltese Government (2026), written contribution, p. 47.</w:t>
      </w:r>
    </w:p>
  </w:footnote>
  <w:footnote w:id="131">
    <w:p w14:paraId="4EC6B46F" w14:textId="1E632DFE" w:rsidR="002F67B6" w:rsidRPr="00230876" w:rsidRDefault="002F67B6" w:rsidP="002F67B6">
      <w:pPr>
        <w:pStyle w:val="FootnoteText"/>
      </w:pPr>
      <w:r w:rsidRPr="00230876">
        <w:rPr>
          <w:rStyle w:val="FootnoteReference"/>
        </w:rPr>
        <w:footnoteRef/>
      </w:r>
      <w:r w:rsidR="00CE7C7C">
        <w:t xml:space="preserve"> </w:t>
      </w:r>
      <w:r w:rsidR="00CE7C7C">
        <w:tab/>
      </w:r>
      <w:r w:rsidRPr="00230876">
        <w:t>Count</w:t>
      </w:r>
      <w:r w:rsidR="001437A6">
        <w:t>r</w:t>
      </w:r>
      <w:r w:rsidRPr="00230876">
        <w:t>y visit Malta, Daphne Foundation.</w:t>
      </w:r>
    </w:p>
  </w:footnote>
  <w:footnote w:id="132">
    <w:p w14:paraId="3804F1FF" w14:textId="20BB4157" w:rsidR="002F67B6" w:rsidRPr="00230876" w:rsidRDefault="002F67B6" w:rsidP="002F67B6">
      <w:pPr>
        <w:pStyle w:val="FootnoteText"/>
      </w:pPr>
      <w:r w:rsidRPr="00230876">
        <w:rPr>
          <w:rStyle w:val="FootnoteReference"/>
        </w:rPr>
        <w:footnoteRef/>
      </w:r>
      <w:r w:rsidR="00CE7C7C">
        <w:t xml:space="preserve"> </w:t>
      </w:r>
      <w:r w:rsidR="00CE7C7C">
        <w:tab/>
      </w:r>
      <w:r w:rsidRPr="00230876">
        <w:t>Country visit Malta, Information and Data Protection Commissioner.</w:t>
      </w:r>
    </w:p>
  </w:footnote>
  <w:footnote w:id="133">
    <w:p w14:paraId="30C49E27" w14:textId="7C4F5B44" w:rsidR="002F67B6" w:rsidRPr="00230876" w:rsidRDefault="002F67B6" w:rsidP="002F67B6">
      <w:pPr>
        <w:pStyle w:val="FootnoteText"/>
      </w:pPr>
      <w:r w:rsidRPr="00230876">
        <w:rPr>
          <w:rStyle w:val="FootnoteReference"/>
        </w:rPr>
        <w:footnoteRef/>
      </w:r>
      <w:r w:rsidRPr="00230876">
        <w:t xml:space="preserve"> </w:t>
      </w:r>
      <w:r>
        <w:tab/>
      </w:r>
      <w:r w:rsidRPr="00230876">
        <w:t>Aditus and Daphne Foundation</w:t>
      </w:r>
      <w:r>
        <w:t xml:space="preserve"> (2026)</w:t>
      </w:r>
      <w:r w:rsidRPr="00230876">
        <w:t>, Repubblika</w:t>
      </w:r>
      <w:r>
        <w:t xml:space="preserve"> (2026)</w:t>
      </w:r>
      <w:r w:rsidRPr="00230876">
        <w:t xml:space="preserve">, written input, pp. 42-44 and </w:t>
      </w:r>
      <w:r>
        <w:t xml:space="preserve">p. </w:t>
      </w:r>
      <w:r w:rsidRPr="00230876">
        <w:t>42 respectively.</w:t>
      </w:r>
    </w:p>
  </w:footnote>
  <w:footnote w:id="134">
    <w:p w14:paraId="01F401D5" w14:textId="3A8B77EF" w:rsidR="002F67B6" w:rsidRPr="00230876" w:rsidRDefault="002F67B6" w:rsidP="002F67B6">
      <w:pPr>
        <w:pStyle w:val="FootnoteText"/>
      </w:pPr>
      <w:r w:rsidRPr="00230876">
        <w:rPr>
          <w:rStyle w:val="FootnoteReference"/>
        </w:rPr>
        <w:footnoteRef/>
      </w:r>
      <w:r w:rsidRPr="00230876">
        <w:t xml:space="preserve"> </w:t>
      </w:r>
      <w:r>
        <w:tab/>
      </w:r>
      <w:r w:rsidRPr="00230876">
        <w:t>Media Pluralism Monitor (2026), p</w:t>
      </w:r>
      <w:r>
        <w:t>p</w:t>
      </w:r>
      <w:r w:rsidRPr="00230876">
        <w:t>.</w:t>
      </w:r>
      <w:r>
        <w:t xml:space="preserve"> 17-18.</w:t>
      </w:r>
    </w:p>
  </w:footnote>
  <w:footnote w:id="135">
    <w:p w14:paraId="08F6FCAF" w14:textId="77777777" w:rsidR="002F67B6" w:rsidRPr="00230876" w:rsidRDefault="002F67B6" w:rsidP="002F67B6">
      <w:pPr>
        <w:pStyle w:val="FootnoteText"/>
      </w:pPr>
      <w:r w:rsidRPr="00230876">
        <w:rPr>
          <w:rStyle w:val="FootnoteReference"/>
        </w:rPr>
        <w:footnoteRef/>
      </w:r>
      <w:r w:rsidRPr="00230876">
        <w:t xml:space="preserve"> </w:t>
      </w:r>
      <w:r>
        <w:tab/>
      </w:r>
      <w:r w:rsidRPr="00230876">
        <w:rPr>
          <w:lang w:eastAsia="fr-FR"/>
        </w:rPr>
        <w:t xml:space="preserve">The 2025 Rule of Law Report recommended to Malta to ‘adopt legislative and other safeguards to improve the working environment of journalists […], taking into account European standards on the protection of journalists’. </w:t>
      </w:r>
      <w:r w:rsidRPr="00230876">
        <w:t>No progress was previously assessed on this in 2025, and some progress in 2024 and 2023.</w:t>
      </w:r>
    </w:p>
  </w:footnote>
  <w:footnote w:id="136">
    <w:p w14:paraId="241C9E9E" w14:textId="77777777" w:rsidR="002F67B6" w:rsidRPr="00230876" w:rsidRDefault="002F67B6" w:rsidP="002F67B6">
      <w:pPr>
        <w:pStyle w:val="FootnoteText"/>
        <w:rPr>
          <w:lang w:val="en-IE"/>
        </w:rPr>
      </w:pPr>
      <w:r w:rsidRPr="00230876">
        <w:rPr>
          <w:rStyle w:val="FootnoteReference"/>
        </w:rPr>
        <w:footnoteRef/>
      </w:r>
      <w:r w:rsidRPr="00230876">
        <w:t xml:space="preserve"> </w:t>
      </w:r>
      <w:r>
        <w:tab/>
        <w:t>Country visit Malta, Court Services Agency.</w:t>
      </w:r>
    </w:p>
  </w:footnote>
  <w:footnote w:id="137">
    <w:p w14:paraId="29E298C9" w14:textId="77777777" w:rsidR="00830756" w:rsidRPr="00230876" w:rsidRDefault="00830756" w:rsidP="00830756">
      <w:pPr>
        <w:pStyle w:val="FootnoteText"/>
        <w:rPr>
          <w:lang w:val="en-IE"/>
        </w:rPr>
      </w:pPr>
      <w:r w:rsidRPr="00230876">
        <w:rPr>
          <w:rStyle w:val="FootnoteReference"/>
        </w:rPr>
        <w:footnoteRef/>
      </w:r>
      <w:r w:rsidRPr="00230876">
        <w:t xml:space="preserve"> </w:t>
      </w:r>
      <w:r>
        <w:tab/>
        <w:t>Civil Society Europe (2026), written input, p. 8</w:t>
      </w:r>
      <w:r w:rsidRPr="00230876">
        <w:t>.</w:t>
      </w:r>
      <w:r>
        <w:t xml:space="preserve"> </w:t>
      </w:r>
      <w:r w:rsidRPr="000132EC">
        <w:t>Civil Liberties (2026), p</w:t>
      </w:r>
      <w:r>
        <w:t>p</w:t>
      </w:r>
      <w:r w:rsidRPr="000132EC">
        <w:t>.</w:t>
      </w:r>
      <w:r>
        <w:rPr>
          <w:lang w:val="en-IE"/>
        </w:rPr>
        <w:t xml:space="preserve"> 533, 568, 570-571.</w:t>
      </w:r>
    </w:p>
  </w:footnote>
  <w:footnote w:id="138">
    <w:p w14:paraId="78FDCD6B" w14:textId="30C55D1A" w:rsidR="002F67B6" w:rsidRPr="00230876" w:rsidRDefault="002F67B6" w:rsidP="002F67B6">
      <w:pPr>
        <w:pStyle w:val="FootnoteText"/>
        <w:rPr>
          <w:lang w:val="en-IE"/>
        </w:rPr>
      </w:pPr>
      <w:r w:rsidRPr="00F76F38">
        <w:rPr>
          <w:rStyle w:val="FootnoteReference"/>
        </w:rPr>
        <w:footnoteRef/>
      </w:r>
      <w:r w:rsidRPr="00F76F38">
        <w:t xml:space="preserve"> </w:t>
      </w:r>
      <w:r w:rsidRPr="00F76F38">
        <w:tab/>
      </w:r>
      <w:r w:rsidR="009D36D0" w:rsidRPr="00F76F38">
        <w:t>Strategic Lawsuits Against Public Participation Order (Subsidiary Legislation 460.40) which entered into force on 31 July 2024 by virtue of Legal Notice 177 of 2024.</w:t>
      </w:r>
    </w:p>
  </w:footnote>
  <w:footnote w:id="139">
    <w:p w14:paraId="3BBE79C2" w14:textId="4D1CBD15" w:rsidR="002F67B6" w:rsidRPr="00A75817" w:rsidRDefault="002F67B6" w:rsidP="002F67B6">
      <w:pPr>
        <w:pStyle w:val="FootnoteText"/>
        <w:rPr>
          <w:lang w:val="en-IE"/>
        </w:rPr>
      </w:pPr>
      <w:r w:rsidRPr="00230876">
        <w:rPr>
          <w:rStyle w:val="FootnoteReference"/>
        </w:rPr>
        <w:footnoteRef/>
      </w:r>
      <w:r w:rsidRPr="00230876">
        <w:t xml:space="preserve"> </w:t>
      </w:r>
      <w:r>
        <w:tab/>
        <w:t>T</w:t>
      </w:r>
      <w:r w:rsidRPr="00E970F7">
        <w:t>he Ministry for Justice</w:t>
      </w:r>
      <w:r>
        <w:t xml:space="preserve"> (2023)</w:t>
      </w:r>
      <w:r w:rsidRPr="00E970F7">
        <w:t xml:space="preserve"> </w:t>
      </w:r>
      <w:r>
        <w:t>had stated</w:t>
      </w:r>
      <w:r w:rsidRPr="00E970F7">
        <w:t xml:space="preserve"> that the </w:t>
      </w:r>
      <w:r>
        <w:t>G</w:t>
      </w:r>
      <w:r w:rsidRPr="00E970F7">
        <w:t xml:space="preserve">overnment “is examining the possibility of extending protection to cases that are exclusively domestic in nature,” </w:t>
      </w:r>
      <w:r>
        <w:t xml:space="preserve">with the </w:t>
      </w:r>
      <w:r w:rsidRPr="00E970F7">
        <w:t>aim to strengthen safeguards</w:t>
      </w:r>
      <w:r>
        <w:t>.</w:t>
      </w:r>
    </w:p>
  </w:footnote>
  <w:footnote w:id="140">
    <w:p w14:paraId="1551D2EF" w14:textId="77777777" w:rsidR="002F67B6" w:rsidRPr="00230876" w:rsidRDefault="002F67B6" w:rsidP="002F67B6">
      <w:pPr>
        <w:pStyle w:val="FootnoteText"/>
        <w:rPr>
          <w:lang w:val="en-IE"/>
        </w:rPr>
      </w:pPr>
      <w:r w:rsidRPr="00230876">
        <w:rPr>
          <w:rStyle w:val="FootnoteReference"/>
        </w:rPr>
        <w:footnoteRef/>
      </w:r>
      <w:r w:rsidRPr="00230876">
        <w:t xml:space="preserve"> </w:t>
      </w:r>
      <w:r>
        <w:tab/>
      </w:r>
      <w:r w:rsidRPr="00916739">
        <w:t>Civil Liberties (2026), p</w:t>
      </w:r>
      <w:r>
        <w:t>p</w:t>
      </w:r>
      <w:r w:rsidRPr="00916739">
        <w:t>.</w:t>
      </w:r>
      <w:r>
        <w:rPr>
          <w:lang w:val="en-IE"/>
        </w:rPr>
        <w:t xml:space="preserve"> 56-57, 570, 574.</w:t>
      </w:r>
    </w:p>
  </w:footnote>
  <w:footnote w:id="141">
    <w:p w14:paraId="7F15CAED" w14:textId="77777777" w:rsidR="002F67B6" w:rsidRPr="00230876" w:rsidRDefault="002F67B6" w:rsidP="002F67B6">
      <w:pPr>
        <w:pStyle w:val="FootnoteText"/>
        <w:rPr>
          <w:lang w:val="en-IE"/>
        </w:rPr>
      </w:pPr>
      <w:r w:rsidRPr="00230876">
        <w:rPr>
          <w:rStyle w:val="FootnoteReference"/>
        </w:rPr>
        <w:footnoteRef/>
      </w:r>
      <w:r w:rsidRPr="00230876">
        <w:t xml:space="preserve"> </w:t>
      </w:r>
      <w:r>
        <w:tab/>
      </w:r>
      <w:r w:rsidRPr="00230876">
        <w:t>2025, 2024 and 2023 Rule of Law Reports on Malta.</w:t>
      </w:r>
    </w:p>
  </w:footnote>
  <w:footnote w:id="142">
    <w:p w14:paraId="0216D778" w14:textId="5DE820A5" w:rsidR="002F67B6" w:rsidRPr="00230876" w:rsidRDefault="002F67B6" w:rsidP="002F67B6">
      <w:pPr>
        <w:pStyle w:val="FootnoteText"/>
        <w:rPr>
          <w:lang w:val="en-IE"/>
        </w:rPr>
      </w:pPr>
      <w:r w:rsidRPr="00230876">
        <w:rPr>
          <w:rStyle w:val="FootnoteReference"/>
        </w:rPr>
        <w:footnoteRef/>
      </w:r>
      <w:r w:rsidRPr="00230876">
        <w:t xml:space="preserve"> </w:t>
      </w:r>
      <w:r>
        <w:tab/>
      </w:r>
      <w:r w:rsidRPr="00230876">
        <w:rPr>
          <w:lang w:val="en-IE"/>
        </w:rPr>
        <w:t>Stakeholders were invited to present their written contributions, but no process permitting discussion or feedback has been possible. The government confirmed that deliberations based on stakeholder input will not be made public. Count</w:t>
      </w:r>
      <w:r w:rsidR="001437A6">
        <w:rPr>
          <w:lang w:val="en-IE"/>
        </w:rPr>
        <w:t>r</w:t>
      </w:r>
      <w:r w:rsidRPr="00230876">
        <w:rPr>
          <w:lang w:val="en-IE"/>
        </w:rPr>
        <w:t>y visit Malta, Repubblika, Daphne Foundation</w:t>
      </w:r>
      <w:r>
        <w:rPr>
          <w:lang w:val="en-IE"/>
        </w:rPr>
        <w:t>,</w:t>
      </w:r>
      <w:r w:rsidRPr="00230876">
        <w:rPr>
          <w:lang w:val="en-IE"/>
        </w:rPr>
        <w:t xml:space="preserve"> and Maltese Government.</w:t>
      </w:r>
    </w:p>
  </w:footnote>
  <w:footnote w:id="143">
    <w:p w14:paraId="4154C354" w14:textId="77777777" w:rsidR="002F67B6" w:rsidRPr="00230876" w:rsidRDefault="002F67B6" w:rsidP="002F67B6">
      <w:pPr>
        <w:pStyle w:val="FootnoteText"/>
        <w:rPr>
          <w:lang w:val="en-IE"/>
        </w:rPr>
      </w:pPr>
      <w:r w:rsidRPr="00230876">
        <w:rPr>
          <w:rStyle w:val="FootnoteReference"/>
        </w:rPr>
        <w:footnoteRef/>
      </w:r>
      <w:r w:rsidRPr="00230876">
        <w:t xml:space="preserve"> </w:t>
      </w:r>
      <w:bookmarkStart w:id="18" w:name="_Hlk227772925"/>
      <w:r>
        <w:tab/>
      </w:r>
      <w:r w:rsidRPr="00230876">
        <w:t>Bills 17, 18 and 19</w:t>
      </w:r>
      <w:bookmarkEnd w:id="18"/>
      <w:r w:rsidRPr="00230876">
        <w:t xml:space="preserve">, </w:t>
      </w:r>
      <w:r>
        <w:t xml:space="preserve">originally </w:t>
      </w:r>
      <w:r w:rsidRPr="00230876">
        <w:t>tabled in 2022, were brought back on the Parliament’s agenda in March 2026</w:t>
      </w:r>
      <w:r w:rsidRPr="00230876">
        <w:rPr>
          <w:lang w:val="en-IE"/>
        </w:rPr>
        <w:t>.</w:t>
      </w:r>
      <w:r>
        <w:rPr>
          <w:lang w:val="en-IE"/>
        </w:rPr>
        <w:t xml:space="preserve"> They expired upon the </w:t>
      </w:r>
      <w:r w:rsidRPr="00BC6EC9">
        <w:t xml:space="preserve">dissolution of Parliament </w:t>
      </w:r>
      <w:r>
        <w:t>in view of early</w:t>
      </w:r>
      <w:r w:rsidRPr="00BC6EC9">
        <w:t xml:space="preserve"> elections</w:t>
      </w:r>
      <w:r>
        <w:t xml:space="preserve"> in late May 2026</w:t>
      </w:r>
      <w:r w:rsidRPr="00BC6EC9">
        <w:t>.</w:t>
      </w:r>
    </w:p>
  </w:footnote>
  <w:footnote w:id="144">
    <w:p w14:paraId="6BD631DA" w14:textId="12C9A3A9" w:rsidR="002F67B6" w:rsidRPr="00230876" w:rsidRDefault="002F67B6" w:rsidP="002F67B6">
      <w:pPr>
        <w:pStyle w:val="FootnoteText"/>
        <w:rPr>
          <w:lang w:val="en-IE"/>
        </w:rPr>
      </w:pPr>
      <w:r w:rsidRPr="00230876">
        <w:rPr>
          <w:rStyle w:val="FootnoteReference"/>
        </w:rPr>
        <w:footnoteRef/>
      </w:r>
      <w:r w:rsidRPr="00230876">
        <w:t xml:space="preserve"> </w:t>
      </w:r>
      <w:r>
        <w:tab/>
      </w:r>
      <w:r w:rsidRPr="00230876">
        <w:t>Articles 7</w:t>
      </w:r>
      <w:r>
        <w:t>-</w:t>
      </w:r>
      <w:r w:rsidRPr="00230876">
        <w:t>10 of Legal Notice 175 of 2025.</w:t>
      </w:r>
    </w:p>
  </w:footnote>
  <w:footnote w:id="145">
    <w:p w14:paraId="13435BDA" w14:textId="77777777" w:rsidR="002F67B6" w:rsidRPr="00230876" w:rsidRDefault="002F67B6" w:rsidP="002F67B6">
      <w:pPr>
        <w:pStyle w:val="FootnoteText"/>
        <w:rPr>
          <w:lang w:val="en-IE"/>
        </w:rPr>
      </w:pPr>
      <w:r w:rsidRPr="00230876">
        <w:rPr>
          <w:rStyle w:val="FootnoteReference"/>
        </w:rPr>
        <w:footnoteRef/>
      </w:r>
      <w:r w:rsidRPr="00230876">
        <w:t xml:space="preserve"> </w:t>
      </w:r>
      <w:r w:rsidRPr="00230876">
        <w:tab/>
        <w:t>Media Pluralism Monitor (2026), p</w:t>
      </w:r>
      <w:r>
        <w:t>p</w:t>
      </w:r>
      <w:r w:rsidRPr="00230876">
        <w:t xml:space="preserve">. </w:t>
      </w:r>
      <w:r>
        <w:t>19-21.</w:t>
      </w:r>
    </w:p>
  </w:footnote>
  <w:footnote w:id="146">
    <w:p w14:paraId="12E38D68" w14:textId="74531BBA" w:rsidR="003036A0" w:rsidRPr="00230876" w:rsidRDefault="002F67B6" w:rsidP="00A46261">
      <w:pPr>
        <w:pStyle w:val="FootnoteText"/>
      </w:pPr>
      <w:r w:rsidRPr="00230876">
        <w:rPr>
          <w:rStyle w:val="FootnoteReference"/>
        </w:rPr>
        <w:footnoteRef/>
      </w:r>
      <w:r w:rsidR="00A46261">
        <w:tab/>
      </w:r>
      <w:r w:rsidRPr="00230876">
        <w:t xml:space="preserve">The </w:t>
      </w:r>
      <w:r w:rsidR="003036A0">
        <w:t xml:space="preserve">jury trial of the </w:t>
      </w:r>
      <w:r w:rsidRPr="00230876">
        <w:t xml:space="preserve">person accused of </w:t>
      </w:r>
      <w:r>
        <w:t>ordering</w:t>
      </w:r>
      <w:r w:rsidRPr="00230876">
        <w:t xml:space="preserve"> the murder of Daphne Caruana Galizia</w:t>
      </w:r>
      <w:r w:rsidR="003036A0">
        <w:t xml:space="preserve"> commenced</w:t>
      </w:r>
      <w:r w:rsidR="003036A0" w:rsidRPr="003036A0">
        <w:t xml:space="preserve"> in July 2026</w:t>
      </w:r>
      <w:r w:rsidR="003036A0">
        <w:t xml:space="preserve">. </w:t>
      </w:r>
      <w:r w:rsidR="003036A0" w:rsidRPr="00230876">
        <w:t xml:space="preserve">In </w:t>
      </w:r>
      <w:r w:rsidRPr="00230876">
        <w:t>2021, 2022 and 2025 five individuals</w:t>
      </w:r>
      <w:r w:rsidR="003036A0">
        <w:t xml:space="preserve"> were convicted for</w:t>
      </w:r>
      <w:r>
        <w:t xml:space="preserve"> carr</w:t>
      </w:r>
      <w:r w:rsidR="003036A0">
        <w:t>y</w:t>
      </w:r>
      <w:r>
        <w:t>i</w:t>
      </w:r>
      <w:r w:rsidR="003036A0">
        <w:t>ng</w:t>
      </w:r>
      <w:r>
        <w:t xml:space="preserve"> out</w:t>
      </w:r>
      <w:r w:rsidRPr="00230876">
        <w:t xml:space="preserve"> the murder.</w:t>
      </w:r>
    </w:p>
  </w:footnote>
  <w:footnote w:id="147">
    <w:p w14:paraId="79058A5B" w14:textId="77777777" w:rsidR="002F67B6" w:rsidRPr="00230876" w:rsidRDefault="002F67B6" w:rsidP="002F67B6">
      <w:pPr>
        <w:pStyle w:val="FootnoteText"/>
        <w:rPr>
          <w:lang w:val="en-IE"/>
        </w:rPr>
      </w:pPr>
      <w:r w:rsidRPr="00230876">
        <w:rPr>
          <w:rStyle w:val="FootnoteReference"/>
        </w:rPr>
        <w:footnoteRef/>
      </w:r>
      <w:r w:rsidRPr="00230876">
        <w:t xml:space="preserve"> </w:t>
      </w:r>
      <w:r w:rsidRPr="00230876">
        <w:tab/>
        <w:t xml:space="preserve">Council of Europe, Platform to promote the protection of journalism and safety of journalists, available </w:t>
      </w:r>
      <w:hyperlink r:id="rId6" w:history="1">
        <w:r w:rsidRPr="00230876">
          <w:rPr>
            <w:rStyle w:val="Hyperlink"/>
          </w:rPr>
          <w:t>here</w:t>
        </w:r>
      </w:hyperlink>
      <w:r w:rsidRPr="00230876">
        <w:t>.</w:t>
      </w:r>
    </w:p>
  </w:footnote>
  <w:footnote w:id="148">
    <w:p w14:paraId="6499BC1E" w14:textId="77777777" w:rsidR="002F67B6" w:rsidRPr="00230876" w:rsidRDefault="002F67B6" w:rsidP="002F67B6">
      <w:pPr>
        <w:pStyle w:val="FootnoteText"/>
        <w:rPr>
          <w:lang w:val="en-IE"/>
        </w:rPr>
      </w:pPr>
      <w:r w:rsidRPr="00230876">
        <w:rPr>
          <w:rStyle w:val="FootnoteReference"/>
        </w:rPr>
        <w:footnoteRef/>
      </w:r>
      <w:r w:rsidRPr="00230876">
        <w:t xml:space="preserve"> </w:t>
      </w:r>
      <w:r w:rsidRPr="00230876">
        <w:tab/>
        <w:t xml:space="preserve">European Centre for Press and Media Freedom, Media Freedom Rapid Response – Malta, available </w:t>
      </w:r>
      <w:hyperlink r:id="rId7" w:history="1">
        <w:r w:rsidRPr="00230876">
          <w:rPr>
            <w:rStyle w:val="Hyperlink"/>
          </w:rPr>
          <w:t>here</w:t>
        </w:r>
      </w:hyperlink>
      <w:r w:rsidRPr="00230876">
        <w:t>.</w:t>
      </w:r>
    </w:p>
  </w:footnote>
  <w:footnote w:id="149">
    <w:p w14:paraId="78D2BCDC" w14:textId="77777777" w:rsidR="002F67B6" w:rsidRPr="00230876" w:rsidRDefault="002F67B6" w:rsidP="002F67B6">
      <w:pPr>
        <w:pStyle w:val="FootnoteText"/>
      </w:pPr>
      <w:r w:rsidRPr="00230876">
        <w:rPr>
          <w:rStyle w:val="FootnoteReference"/>
        </w:rPr>
        <w:footnoteRef/>
      </w:r>
      <w:r w:rsidRPr="00230876">
        <w:t xml:space="preserve"> </w:t>
      </w:r>
      <w:r w:rsidRPr="00230876">
        <w:tab/>
        <w:t>The 2025 Rule of Law Report recommended to Malta to ‘</w:t>
      </w:r>
      <w:r w:rsidRPr="00230876" w:rsidDel="00396090">
        <w:t>[</w:t>
      </w:r>
      <w:r w:rsidRPr="00230876">
        <w:t>i]ntroduce a formal framework for public participation in the legislative process’. Limited progress was previously assessed on this recommendation in 2025, and some progress in 2024.</w:t>
      </w:r>
    </w:p>
  </w:footnote>
  <w:footnote w:id="150">
    <w:p w14:paraId="47A44EB0" w14:textId="54A6ABD3" w:rsidR="002F67B6" w:rsidRPr="00F76F38" w:rsidRDefault="002F67B6" w:rsidP="002F67B6">
      <w:pPr>
        <w:pStyle w:val="FootnoteText"/>
      </w:pPr>
      <w:r w:rsidRPr="00230876">
        <w:rPr>
          <w:rStyle w:val="FootnoteReference"/>
        </w:rPr>
        <w:footnoteRef/>
      </w:r>
      <w:r w:rsidRPr="00230876">
        <w:t xml:space="preserve"> </w:t>
      </w:r>
      <w:r w:rsidRPr="00230876">
        <w:tab/>
        <w:t xml:space="preserve">Legal notices are subsidiary legislation with force of law, issued by </w:t>
      </w:r>
      <w:r w:rsidRPr="00F76F38">
        <w:t>Government,</w:t>
      </w:r>
      <w:r w:rsidR="007B2460" w:rsidRPr="00F76F38">
        <w:t xml:space="preserve"> to operationalise an existing Act of Parliament. They</w:t>
      </w:r>
      <w:r w:rsidRPr="00F76F38">
        <w:t xml:space="preserve"> may be amended by Parliament within 28 days. Parliament adopted 42 acts in 2025 (41 in 2025) while Government tabled 307 legal notices in the House (379 in 2024). Parliament of Malta (2026); Legislation.mt (2026). </w:t>
      </w:r>
    </w:p>
  </w:footnote>
  <w:footnote w:id="151">
    <w:p w14:paraId="056B9F11" w14:textId="4EE1403A" w:rsidR="002F67B6" w:rsidRPr="00F76F38" w:rsidRDefault="002F67B6" w:rsidP="002F67B6">
      <w:pPr>
        <w:pStyle w:val="FootnoteText"/>
      </w:pPr>
      <w:r w:rsidRPr="00F76F38">
        <w:rPr>
          <w:rStyle w:val="FootnoteReference"/>
        </w:rPr>
        <w:footnoteRef/>
      </w:r>
      <w:r w:rsidRPr="00F76F38">
        <w:t xml:space="preserve"> </w:t>
      </w:r>
      <w:r w:rsidRPr="00F76F38">
        <w:tab/>
        <w:t>Country visit Malta, Parliament secretariat.</w:t>
      </w:r>
    </w:p>
  </w:footnote>
  <w:footnote w:id="152">
    <w:p w14:paraId="0CC1FC96" w14:textId="10F0AC26" w:rsidR="002F67B6" w:rsidRPr="00F76F38" w:rsidRDefault="002F67B6" w:rsidP="002F67B6">
      <w:pPr>
        <w:pStyle w:val="FootnoteText"/>
      </w:pPr>
      <w:r w:rsidRPr="00F76F38">
        <w:rPr>
          <w:rStyle w:val="FootnoteReference"/>
        </w:rPr>
        <w:footnoteRef/>
      </w:r>
      <w:r w:rsidRPr="00F76F38">
        <w:t xml:space="preserve"> </w:t>
      </w:r>
      <w:r w:rsidRPr="00F76F38">
        <w:tab/>
        <w:t>Chamber of Commerce (2026), written input, p. 26.</w:t>
      </w:r>
    </w:p>
  </w:footnote>
  <w:footnote w:id="153">
    <w:p w14:paraId="0903BCD2" w14:textId="77777777" w:rsidR="002F67B6" w:rsidRPr="00230876" w:rsidRDefault="002F67B6" w:rsidP="002F67B6">
      <w:pPr>
        <w:pStyle w:val="FootnoteText"/>
      </w:pPr>
      <w:r w:rsidRPr="00230876">
        <w:rPr>
          <w:rStyle w:val="FootnoteReference"/>
        </w:rPr>
        <w:footnoteRef/>
      </w:r>
      <w:r w:rsidRPr="00230876">
        <w:t xml:space="preserve"> </w:t>
      </w:r>
      <w:r w:rsidRPr="00230876">
        <w:tab/>
        <w:t xml:space="preserve">OECD Indicators of Regulatory Policy and Governance (iREG), 2024 data. OECD (2025), </w:t>
      </w:r>
      <w:r w:rsidRPr="00230876">
        <w:rPr>
          <w:rStyle w:val="Footnote1"/>
        </w:rPr>
        <w:t xml:space="preserve">pp. </w:t>
      </w:r>
      <w:r w:rsidRPr="00230876">
        <w:rPr>
          <w:rStyle w:val="Footnote1"/>
          <w:lang w:eastAsia="bg-BG" w:bidi="bg-BG"/>
        </w:rPr>
        <w:t>166-167.</w:t>
      </w:r>
    </w:p>
  </w:footnote>
  <w:footnote w:id="154">
    <w:p w14:paraId="6F6F6BD9" w14:textId="77777777" w:rsidR="002F67B6" w:rsidRPr="00230876" w:rsidRDefault="002F67B6" w:rsidP="002F67B6">
      <w:pPr>
        <w:pStyle w:val="FootnoteText"/>
      </w:pPr>
      <w:r w:rsidRPr="00230876">
        <w:rPr>
          <w:rStyle w:val="FootnoteReference"/>
        </w:rPr>
        <w:footnoteRef/>
      </w:r>
      <w:r w:rsidRPr="00230876">
        <w:t xml:space="preserve"> </w:t>
      </w:r>
      <w:r w:rsidRPr="00230876">
        <w:tab/>
      </w:r>
      <w:r w:rsidRPr="00230876">
        <w:rPr>
          <w:rStyle w:val="Bodytext1"/>
          <w:color w:val="000000" w:themeColor="text1"/>
        </w:rPr>
        <w:t>These included the reform of magisterial inquiries and the 2025 constitutional reform package.</w:t>
      </w:r>
      <w:r w:rsidRPr="00230876">
        <w:t xml:space="preserve"> Aditus and </w:t>
      </w:r>
      <w:r w:rsidRPr="00230876">
        <w:rPr>
          <w:rStyle w:val="Footnote1"/>
        </w:rPr>
        <w:t xml:space="preserve">Daphne Foundation </w:t>
      </w:r>
      <w:r w:rsidRPr="00230876">
        <w:rPr>
          <w:rStyle w:val="Footnote1"/>
          <w:lang w:eastAsia="bg-BG" w:bidi="bg-BG"/>
        </w:rPr>
        <w:t xml:space="preserve">(2026), </w:t>
      </w:r>
      <w:r w:rsidRPr="00230876">
        <w:rPr>
          <w:rStyle w:val="Footnote1"/>
        </w:rPr>
        <w:t xml:space="preserve">written input, p. </w:t>
      </w:r>
      <w:r w:rsidRPr="00230876">
        <w:rPr>
          <w:rStyle w:val="Footnote1"/>
          <w:lang w:eastAsia="bg-BG" w:bidi="bg-BG"/>
        </w:rPr>
        <w:t xml:space="preserve">48. </w:t>
      </w:r>
      <w:r w:rsidRPr="00230876">
        <w:t>Aditus Foundation (2025); Aditus Foundation, Daphne Caruana Galizia Foundation, Repubblika (2025)</w:t>
      </w:r>
      <w:r>
        <w:t>;</w:t>
      </w:r>
      <w:r w:rsidRPr="00EF0874">
        <w:t xml:space="preserve"> </w:t>
      </w:r>
      <w:r w:rsidRPr="00230876">
        <w:t>Chamber of Commerce (2025).</w:t>
      </w:r>
    </w:p>
  </w:footnote>
  <w:footnote w:id="155">
    <w:p w14:paraId="20896071" w14:textId="77777777" w:rsidR="002F67B6" w:rsidRPr="00230876" w:rsidRDefault="002F67B6" w:rsidP="002F67B6">
      <w:pPr>
        <w:pStyle w:val="FootnoteText"/>
      </w:pPr>
      <w:r w:rsidRPr="00230876">
        <w:rPr>
          <w:rStyle w:val="FootnoteReference"/>
        </w:rPr>
        <w:footnoteRef/>
      </w:r>
      <w:r w:rsidRPr="00230876">
        <w:t xml:space="preserve"> </w:t>
      </w:r>
      <w:r w:rsidRPr="00230876">
        <w:tab/>
      </w:r>
      <w:r w:rsidRPr="000132EC">
        <w:t>These</w:t>
      </w:r>
      <w:r w:rsidRPr="00230876">
        <w:rPr>
          <w:rStyle w:val="Bodytext1"/>
          <w:color w:val="000000" w:themeColor="text1"/>
        </w:rPr>
        <w:t xml:space="preserve"> included </w:t>
      </w:r>
      <w:r w:rsidRPr="00230876">
        <w:rPr>
          <w:rStyle w:val="Bodytext1"/>
        </w:rPr>
        <w:t>bills on planning reforms and on the protection of agricultural land.</w:t>
      </w:r>
      <w:r w:rsidRPr="00230876">
        <w:t xml:space="preserve"> Chamber of Advocates (2025b; 2025c).</w:t>
      </w:r>
      <w:r>
        <w:t xml:space="preserve"> </w:t>
      </w:r>
      <w:r>
        <w:rPr>
          <w:lang w:val="en-IE"/>
        </w:rPr>
        <w:t xml:space="preserve">Both bills expired upon </w:t>
      </w:r>
      <w:r w:rsidRPr="00BC6EC9">
        <w:t xml:space="preserve">dissolution of Parliament </w:t>
      </w:r>
      <w:r>
        <w:t>in view of early</w:t>
      </w:r>
      <w:r w:rsidRPr="00BC6EC9">
        <w:t xml:space="preserve"> elections</w:t>
      </w:r>
      <w:r>
        <w:t xml:space="preserve"> in May 2026</w:t>
      </w:r>
      <w:r w:rsidRPr="00BC6EC9">
        <w:t>.</w:t>
      </w:r>
    </w:p>
  </w:footnote>
  <w:footnote w:id="156">
    <w:p w14:paraId="51458539" w14:textId="77777777" w:rsidR="002F67B6" w:rsidRPr="00230876" w:rsidRDefault="002F67B6" w:rsidP="002F67B6">
      <w:pPr>
        <w:pStyle w:val="FootnoteText"/>
      </w:pPr>
      <w:r w:rsidRPr="00230876">
        <w:rPr>
          <w:rStyle w:val="FootnoteReference"/>
        </w:rPr>
        <w:footnoteRef/>
      </w:r>
      <w:r w:rsidRPr="00230876">
        <w:t xml:space="preserve"> </w:t>
      </w:r>
      <w:r w:rsidRPr="00230876">
        <w:tab/>
        <w:t xml:space="preserve">Maltese Government (2026), written input, p. 9. Country visit Malta, </w:t>
      </w:r>
      <w:r>
        <w:t xml:space="preserve">Maltese Government, </w:t>
      </w:r>
      <w:r w:rsidRPr="0011104D">
        <w:t>National Commission for the Promotion of Equality</w:t>
      </w:r>
      <w:r w:rsidRPr="00230876">
        <w:t>.</w:t>
      </w:r>
    </w:p>
  </w:footnote>
  <w:footnote w:id="157">
    <w:p w14:paraId="7314C20E" w14:textId="77777777" w:rsidR="002F67B6" w:rsidRPr="00230876" w:rsidRDefault="002F67B6" w:rsidP="002F67B6">
      <w:pPr>
        <w:pStyle w:val="FootnoteText"/>
      </w:pPr>
      <w:r w:rsidRPr="00230876">
        <w:rPr>
          <w:rStyle w:val="FootnoteReference"/>
        </w:rPr>
        <w:footnoteRef/>
      </w:r>
      <w:r w:rsidRPr="00230876">
        <w:t xml:space="preserve"> </w:t>
      </w:r>
      <w:r w:rsidRPr="00230876">
        <w:tab/>
      </w:r>
      <w:r>
        <w:t xml:space="preserve">The Government reported 65 online public consultations in 2025, of which 21 legislative ones. Stakeholders noted that </w:t>
      </w:r>
      <w:r w:rsidRPr="00664719">
        <w:t>public</w:t>
      </w:r>
      <w:r w:rsidRPr="00230876">
        <w:t xml:space="preserve"> consultations by ministries on draft laws remain occasional and discretionary, limited in scope and with unclear impact of stakeholders’ contributions</w:t>
      </w:r>
      <w:r>
        <w:t>, while</w:t>
      </w:r>
      <w:r w:rsidRPr="00230876">
        <w:t xml:space="preserve"> fast-track legislative procedures do not allow the chance to intervene in parliamentary debates.</w:t>
      </w:r>
      <w:r>
        <w:t xml:space="preserve"> Country visit Malta, Maltese Government.</w:t>
      </w:r>
      <w:r w:rsidRPr="00230876">
        <w:t xml:space="preserve"> Aditus and </w:t>
      </w:r>
      <w:r w:rsidRPr="00230876">
        <w:rPr>
          <w:rStyle w:val="Footnote1"/>
        </w:rPr>
        <w:t xml:space="preserve">Daphne Foundation </w:t>
      </w:r>
      <w:r w:rsidRPr="00230876">
        <w:rPr>
          <w:rStyle w:val="Footnote1"/>
          <w:lang w:eastAsia="bg-BG" w:bidi="bg-BG"/>
        </w:rPr>
        <w:t xml:space="preserve">(2026), </w:t>
      </w:r>
      <w:r w:rsidRPr="00230876">
        <w:rPr>
          <w:rStyle w:val="Footnote1"/>
        </w:rPr>
        <w:t xml:space="preserve">written input, p. </w:t>
      </w:r>
      <w:r w:rsidRPr="00230876">
        <w:rPr>
          <w:rStyle w:val="Footnote1"/>
          <w:lang w:eastAsia="bg-BG" w:bidi="bg-BG"/>
        </w:rPr>
        <w:t>48. Repubblika (2026), written input, p. 58.</w:t>
      </w:r>
    </w:p>
  </w:footnote>
  <w:footnote w:id="158">
    <w:p w14:paraId="7E6597EE" w14:textId="115D4CE3" w:rsidR="002F67B6" w:rsidRPr="00230876" w:rsidRDefault="002F67B6" w:rsidP="002F67B6">
      <w:pPr>
        <w:pStyle w:val="FootnoteText"/>
      </w:pPr>
      <w:r w:rsidRPr="00230876">
        <w:rPr>
          <w:rStyle w:val="FootnoteReference"/>
        </w:rPr>
        <w:footnoteRef/>
      </w:r>
      <w:r w:rsidRPr="00230876">
        <w:t xml:space="preserve"> </w:t>
      </w:r>
      <w:r w:rsidRPr="00230876">
        <w:tab/>
        <w:t>The 2025 Rule of Law Report recommended to Malta to ‘[s]tep up measures to establish a National Human Rights Institution taking into account the UN Paris Principles’. No progress was previously assessed on this recommendation in 2025, 2024 and 2023.</w:t>
      </w:r>
    </w:p>
  </w:footnote>
  <w:footnote w:id="159">
    <w:p w14:paraId="1A82879D" w14:textId="30300499" w:rsidR="002F67B6" w:rsidRPr="00230876" w:rsidRDefault="002F67B6" w:rsidP="002F67B6">
      <w:pPr>
        <w:pStyle w:val="FootnoteText"/>
      </w:pPr>
      <w:r w:rsidRPr="00230876">
        <w:rPr>
          <w:rStyle w:val="FootnoteReference"/>
        </w:rPr>
        <w:footnoteRef/>
      </w:r>
      <w:r w:rsidRPr="00230876">
        <w:t xml:space="preserve"> </w:t>
      </w:r>
      <w:r w:rsidRPr="00230876">
        <w:tab/>
        <w:t>Maltese Government (2026), written input, p. 9. Country visit Malta, Maltese Government.</w:t>
      </w:r>
    </w:p>
  </w:footnote>
  <w:footnote w:id="160">
    <w:p w14:paraId="1C995925" w14:textId="05D413A1" w:rsidR="002F67B6" w:rsidRPr="00715D1C" w:rsidRDefault="002F67B6" w:rsidP="002F67B6">
      <w:pPr>
        <w:pStyle w:val="FootnoteText"/>
      </w:pPr>
      <w:r w:rsidRPr="00715D1C">
        <w:rPr>
          <w:rStyle w:val="FootnoteReference"/>
        </w:rPr>
        <w:footnoteRef/>
      </w:r>
      <w:r w:rsidRPr="00715D1C">
        <w:t xml:space="preserve"> </w:t>
      </w:r>
      <w:r>
        <w:tab/>
      </w:r>
      <w:r w:rsidRPr="00230876">
        <w:rPr>
          <w:rStyle w:val="Footnote1"/>
        </w:rPr>
        <w:t xml:space="preserve">Data according to the </w:t>
      </w:r>
      <w:hyperlink r:id="rId8" w:history="1">
        <w:r w:rsidRPr="00230876">
          <w:rPr>
            <w:rStyle w:val="Hyperlink"/>
          </w:rPr>
          <w:t>online database</w:t>
        </w:r>
      </w:hyperlink>
      <w:r w:rsidRPr="00230876">
        <w:rPr>
          <w:rStyle w:val="Footnote1"/>
        </w:rPr>
        <w:t xml:space="preserve"> of the Council of Europe (HUDOC). </w:t>
      </w:r>
      <w:r w:rsidRPr="004B0CFE">
        <w:t xml:space="preserve">For an explanation of the supervision process, see the </w:t>
      </w:r>
      <w:hyperlink r:id="rId9" w:history="1">
        <w:r w:rsidRPr="00101918">
          <w:rPr>
            <w:rStyle w:val="Hyperlink"/>
          </w:rPr>
          <w:t>website</w:t>
        </w:r>
      </w:hyperlink>
      <w:r w:rsidRPr="00101918">
        <w:t xml:space="preserve"> of the Council of Europe.</w:t>
      </w:r>
    </w:p>
  </w:footnote>
  <w:footnote w:id="161">
    <w:p w14:paraId="41FDA261" w14:textId="77777777" w:rsidR="002F67B6" w:rsidRPr="00715D1C" w:rsidRDefault="002F67B6" w:rsidP="002F67B6">
      <w:pPr>
        <w:pStyle w:val="FootnoteText"/>
      </w:pPr>
      <w:r w:rsidRPr="00715D1C">
        <w:rPr>
          <w:rStyle w:val="FootnoteReference"/>
        </w:rPr>
        <w:footnoteRef/>
      </w:r>
      <w:r w:rsidRPr="00715D1C">
        <w:t xml:space="preserve"> </w:t>
      </w:r>
      <w:r>
        <w:tab/>
      </w:r>
      <w:r w:rsidRPr="00715D1C">
        <w:t>All figures calculated by the European Implementation Network</w:t>
      </w:r>
      <w:r>
        <w:t xml:space="preserve"> (EIN)</w:t>
      </w:r>
      <w:r w:rsidRPr="00715D1C">
        <w:t xml:space="preserve"> and based on the number of cases that are considered pending at the annual cut-off date of 1 January </w:t>
      </w:r>
      <w:r>
        <w:t>2026</w:t>
      </w:r>
      <w:r w:rsidRPr="00715D1C">
        <w:t xml:space="preserve">. </w:t>
      </w:r>
      <w:r w:rsidRPr="008A0989">
        <w:t>EIN (2026), written input, pp. 6-7.</w:t>
      </w:r>
    </w:p>
  </w:footnote>
  <w:footnote w:id="162">
    <w:p w14:paraId="3A4B3715" w14:textId="3778674B" w:rsidR="002F67B6" w:rsidRPr="000915BB" w:rsidRDefault="002F67B6" w:rsidP="002F67B6">
      <w:pPr>
        <w:pStyle w:val="FootnoteText"/>
      </w:pPr>
      <w:r w:rsidRPr="00715D1C">
        <w:rPr>
          <w:rStyle w:val="FootnoteReference"/>
        </w:rPr>
        <w:footnoteRef/>
      </w:r>
      <w:r w:rsidRPr="00715D1C">
        <w:t xml:space="preserve"> </w:t>
      </w:r>
      <w:r>
        <w:tab/>
        <w:t>ECtHR judgement in the case</w:t>
      </w:r>
      <w:r w:rsidRPr="000915BB">
        <w:t xml:space="preserve"> 31122/05, </w:t>
      </w:r>
      <w:r w:rsidRPr="0025011D">
        <w:rPr>
          <w:i/>
          <w:iCs/>
        </w:rPr>
        <w:t>Ghigo v. Malta</w:t>
      </w:r>
      <w:r w:rsidRPr="000915BB">
        <w:t xml:space="preserve">, pending implementation since </w:t>
      </w:r>
      <w:r>
        <w:t>December 2006</w:t>
      </w:r>
      <w:r w:rsidRPr="000915BB">
        <w:t>.</w:t>
      </w:r>
    </w:p>
  </w:footnote>
  <w:footnote w:id="163">
    <w:p w14:paraId="728D0448" w14:textId="38E7BF8C" w:rsidR="002F67B6" w:rsidRPr="000915BB" w:rsidRDefault="002F67B6" w:rsidP="002F67B6">
      <w:pPr>
        <w:pStyle w:val="FootnoteText"/>
      </w:pPr>
      <w:r w:rsidRPr="000915BB">
        <w:rPr>
          <w:rStyle w:val="FootnoteReference"/>
        </w:rPr>
        <w:footnoteRef/>
      </w:r>
      <w:r w:rsidRPr="000915BB">
        <w:t xml:space="preserve"> </w:t>
      </w:r>
      <w:r w:rsidRPr="000915BB">
        <w:tab/>
        <w:t>Council of Europe (</w:t>
      </w:r>
      <w:r>
        <w:t>2026</w:t>
      </w:r>
      <w:r w:rsidRPr="000915BB">
        <w:t>), p. 157.</w:t>
      </w:r>
    </w:p>
  </w:footnote>
  <w:footnote w:id="164">
    <w:p w14:paraId="26EA2E53" w14:textId="77777777" w:rsidR="002F67B6" w:rsidRPr="000915BB" w:rsidRDefault="002F67B6" w:rsidP="002F67B6">
      <w:pPr>
        <w:pStyle w:val="FootnoteText"/>
      </w:pPr>
      <w:r w:rsidRPr="000915BB">
        <w:rPr>
          <w:rStyle w:val="FootnoteReference"/>
        </w:rPr>
        <w:footnoteRef/>
      </w:r>
      <w:r w:rsidRPr="000915BB">
        <w:t xml:space="preserve"> </w:t>
      </w:r>
      <w:r w:rsidRPr="000915BB">
        <w:tab/>
        <w:t>Data according to the online database of the Council of Europe (HUDOC).</w:t>
      </w:r>
    </w:p>
  </w:footnote>
  <w:footnote w:id="165">
    <w:p w14:paraId="00FFFCD9" w14:textId="78086C84" w:rsidR="002F67B6" w:rsidRPr="00056F1D" w:rsidRDefault="002F67B6" w:rsidP="002F67B6">
      <w:pPr>
        <w:pStyle w:val="FootnoteText"/>
      </w:pPr>
      <w:r w:rsidRPr="00056F1D">
        <w:rPr>
          <w:rStyle w:val="FootnoteReference"/>
        </w:rPr>
        <w:footnoteRef/>
      </w:r>
      <w:r w:rsidRPr="00056F1D">
        <w:t xml:space="preserve"> </w:t>
      </w:r>
      <w:r w:rsidRPr="00056F1D">
        <w:tab/>
        <w:t>Figure</w:t>
      </w:r>
      <w:r>
        <w:t>s</w:t>
      </w:r>
      <w:r w:rsidRPr="00056F1D">
        <w:t xml:space="preserve"> </w:t>
      </w:r>
      <w:r>
        <w:t>52 and 53</w:t>
      </w:r>
      <w:r w:rsidRPr="00056F1D">
        <w:t>, 202</w:t>
      </w:r>
      <w:r>
        <w:t>6</w:t>
      </w:r>
      <w:r w:rsidRPr="00056F1D">
        <w:t xml:space="preserve"> EU Justice Scoreboard</w:t>
      </w:r>
      <w:r w:rsidRPr="00C31301">
        <w:t xml:space="preserve">. Only </w:t>
      </w:r>
      <w:r>
        <w:t>9</w:t>
      </w:r>
      <w:r w:rsidRPr="00C31301">
        <w:t xml:space="preserve">% and </w:t>
      </w:r>
      <w:r>
        <w:t>3</w:t>
      </w:r>
      <w:r w:rsidRPr="00C31301">
        <w:t xml:space="preserve">% </w:t>
      </w:r>
      <w:r w:rsidRPr="00056F1D">
        <w:t xml:space="preserve">of the surveyed investors </w:t>
      </w:r>
      <w:r>
        <w:t xml:space="preserve">respectively </w:t>
      </w:r>
      <w:r w:rsidRPr="00056F1D">
        <w:t>perceive</w:t>
      </w:r>
      <w:r>
        <w:t xml:space="preserve"> (i) </w:t>
      </w:r>
      <w:r w:rsidRPr="00E65DB6">
        <w:rPr>
          <w:rFonts w:eastAsia="Calibri"/>
        </w:rPr>
        <w:t>concerns about quality, efficiency or independence of justice</w:t>
      </w:r>
      <w:r>
        <w:rPr>
          <w:rFonts w:eastAsia="Calibri"/>
        </w:rPr>
        <w:t xml:space="preserve"> and </w:t>
      </w:r>
      <w:r w:rsidRPr="00196C3B">
        <w:t xml:space="preserve">frequent changes in legislation or </w:t>
      </w:r>
      <w:r>
        <w:t xml:space="preserve">(ii) </w:t>
      </w:r>
      <w:r w:rsidRPr="00196C3B">
        <w:t>concerns about the quality of the law-making process</w:t>
      </w:r>
      <w:r w:rsidRPr="00056F1D">
        <w:t xml:space="preserve"> as a reason for the lack of confidence in investment protection</w:t>
      </w:r>
      <w:r w:rsidRPr="00DA4734">
        <w:t>.</w:t>
      </w:r>
    </w:p>
  </w:footnote>
  <w:footnote w:id="166">
    <w:p w14:paraId="7793CA60" w14:textId="04D3AA83" w:rsidR="002F67B6" w:rsidRPr="003B29EE" w:rsidRDefault="002F67B6" w:rsidP="002F67B6">
      <w:pPr>
        <w:pStyle w:val="FootnoteText"/>
      </w:pPr>
      <w:r w:rsidRPr="00056F1D">
        <w:rPr>
          <w:rStyle w:val="FootnoteReference"/>
        </w:rPr>
        <w:footnoteRef/>
      </w:r>
      <w:r w:rsidRPr="003B29EE">
        <w:t xml:space="preserve"> </w:t>
      </w:r>
      <w:r w:rsidRPr="003B29EE">
        <w:tab/>
      </w:r>
      <w:r>
        <w:t xml:space="preserve">Figure 60, </w:t>
      </w:r>
      <w:r w:rsidRPr="003B29EE">
        <w:t>202</w:t>
      </w:r>
      <w:r>
        <w:rPr>
          <w:lang w:val="bg-BG"/>
        </w:rPr>
        <w:t>6</w:t>
      </w:r>
      <w:r w:rsidRPr="003B29EE">
        <w:t xml:space="preserve"> EU Justice Scoreboard</w:t>
      </w:r>
      <w:r>
        <w:t>.</w:t>
      </w:r>
    </w:p>
  </w:footnote>
  <w:footnote w:id="167">
    <w:p w14:paraId="7BC7B1E5" w14:textId="77777777" w:rsidR="002F67B6" w:rsidRPr="00230876" w:rsidRDefault="002F67B6" w:rsidP="002F67B6">
      <w:pPr>
        <w:pStyle w:val="FootnoteText"/>
      </w:pPr>
      <w:r w:rsidRPr="00230876">
        <w:rPr>
          <w:rStyle w:val="FootnoteReference"/>
        </w:rPr>
        <w:footnoteRef/>
      </w:r>
      <w:r w:rsidRPr="00230876">
        <w:t xml:space="preserve"> </w:t>
      </w:r>
      <w:r w:rsidRPr="00230876">
        <w:tab/>
      </w:r>
      <w:r>
        <w:t xml:space="preserve">Malta’s score is 78/100. </w:t>
      </w:r>
      <w:r w:rsidRPr="0002081B">
        <w:rPr>
          <w:color w:val="000000" w:themeColor="text1"/>
        </w:rPr>
        <w:t xml:space="preserve">See </w:t>
      </w:r>
      <w:hyperlink r:id="rId10" w:history="1">
        <w:r w:rsidRPr="002663F2">
          <w:rPr>
            <w:rStyle w:val="Hyperlink"/>
          </w:rPr>
          <w:t>https://monitor.civicus.org/country/malta/</w:t>
        </w:r>
      </w:hyperlink>
      <w:r>
        <w:t xml:space="preserve">. </w:t>
      </w:r>
      <w:r w:rsidRPr="00230876">
        <w:t>Ratings</w:t>
      </w:r>
      <w:r>
        <w:t xml:space="preserve"> by Civicus</w:t>
      </w:r>
      <w:r w:rsidRPr="00230876">
        <w:t xml:space="preserve"> </w:t>
      </w:r>
      <w:r>
        <w:t>(2025)</w:t>
      </w:r>
      <w:r w:rsidRPr="00230876">
        <w:t xml:space="preserve"> are on a five-category scale defined as: open, narrowed, obstructed, repressed and closed.</w:t>
      </w:r>
    </w:p>
  </w:footnote>
  <w:footnote w:id="168">
    <w:p w14:paraId="37008EA9" w14:textId="0B827CCD" w:rsidR="002F67B6" w:rsidRPr="00230876" w:rsidRDefault="002F67B6" w:rsidP="002F67B6">
      <w:pPr>
        <w:pStyle w:val="FootnoteText"/>
      </w:pPr>
      <w:r w:rsidRPr="00230876">
        <w:rPr>
          <w:rStyle w:val="FootnoteReference"/>
        </w:rPr>
        <w:footnoteRef/>
      </w:r>
      <w:r w:rsidRPr="00230876">
        <w:t xml:space="preserve"> </w:t>
      </w:r>
      <w:r w:rsidRPr="00230876">
        <w:tab/>
        <w:t>Country visit Malta, Commissioner for Voluntary Organisations. 2025 Rule of Law Report, Malta, p. 15.</w:t>
      </w:r>
    </w:p>
  </w:footnote>
  <w:footnote w:id="169">
    <w:p w14:paraId="2B6DB599" w14:textId="2FD85FF7" w:rsidR="002F67B6" w:rsidRPr="00230876" w:rsidRDefault="002F67B6" w:rsidP="002F67B6">
      <w:pPr>
        <w:pStyle w:val="FootnoteText"/>
      </w:pPr>
      <w:r w:rsidRPr="00230876">
        <w:rPr>
          <w:rStyle w:val="FootnoteReference"/>
        </w:rPr>
        <w:footnoteRef/>
      </w:r>
      <w:r w:rsidRPr="00230876">
        <w:t xml:space="preserve"> </w:t>
      </w:r>
      <w:r w:rsidRPr="00230876">
        <w:tab/>
        <w:t xml:space="preserve">Country visit Malta, </w:t>
      </w:r>
      <w:r>
        <w:t>Maltese Government</w:t>
      </w:r>
      <w:r w:rsidRPr="00230876">
        <w:t>.</w:t>
      </w:r>
    </w:p>
  </w:footnote>
  <w:footnote w:id="170">
    <w:p w14:paraId="2ADC7E02" w14:textId="58168E18" w:rsidR="002F67B6" w:rsidRPr="00230876" w:rsidRDefault="002F67B6" w:rsidP="002F67B6">
      <w:pPr>
        <w:pStyle w:val="FootnoteText"/>
      </w:pPr>
      <w:r w:rsidRPr="00230876">
        <w:rPr>
          <w:rStyle w:val="FootnoteReference"/>
        </w:rPr>
        <w:footnoteRef/>
      </w:r>
      <w:r w:rsidRPr="00230876">
        <w:t xml:space="preserve"> </w:t>
      </w:r>
      <w:r w:rsidRPr="00230876">
        <w:tab/>
        <w:t>Ministry for Inclusion and the Voluntary Sector (2025).</w:t>
      </w:r>
    </w:p>
  </w:footnote>
  <w:footnote w:id="171">
    <w:p w14:paraId="67DADAE1" w14:textId="77777777" w:rsidR="002F67B6" w:rsidRPr="00230876" w:rsidRDefault="002F67B6" w:rsidP="002F67B6">
      <w:pPr>
        <w:pStyle w:val="FootnoteText"/>
      </w:pPr>
      <w:r w:rsidRPr="00230876">
        <w:rPr>
          <w:rStyle w:val="FootnoteReference"/>
        </w:rPr>
        <w:footnoteRef/>
      </w:r>
      <w:r w:rsidRPr="00230876">
        <w:t xml:space="preserve"> </w:t>
      </w:r>
      <w:r w:rsidRPr="00230876">
        <w:tab/>
        <w:t xml:space="preserve">Aditus and </w:t>
      </w:r>
      <w:r w:rsidRPr="00230876">
        <w:rPr>
          <w:rStyle w:val="Footnote1"/>
        </w:rPr>
        <w:t xml:space="preserve">Daphne </w:t>
      </w:r>
      <w:r w:rsidRPr="00230876">
        <w:t>Foundation</w:t>
      </w:r>
      <w:r w:rsidRPr="00230876">
        <w:rPr>
          <w:rStyle w:val="Footnote1"/>
        </w:rPr>
        <w:t xml:space="preserve"> (2026), written input, p. 50.</w:t>
      </w:r>
    </w:p>
  </w:footnote>
  <w:footnote w:id="172">
    <w:p w14:paraId="520BE6DE" w14:textId="295EF440" w:rsidR="002F67B6" w:rsidRPr="00230876" w:rsidRDefault="002F67B6" w:rsidP="002F67B6">
      <w:pPr>
        <w:pStyle w:val="FootnoteText"/>
      </w:pPr>
      <w:r w:rsidRPr="00230876">
        <w:rPr>
          <w:rStyle w:val="FootnoteReference"/>
        </w:rPr>
        <w:footnoteRef/>
      </w:r>
      <w:r w:rsidRPr="00230876">
        <w:t xml:space="preserve"> </w:t>
      </w:r>
      <w:r w:rsidRPr="00230876">
        <w:tab/>
        <w:t>OSCE/ODIHR (2025). Aditus and Daphne Foundation, written input, p</w:t>
      </w:r>
      <w:r>
        <w:t xml:space="preserve"> 53; Repubblika, written input, pp. 28, 42, 77</w:t>
      </w:r>
      <w:r w:rsidRPr="00230876">
        <w:t>.</w:t>
      </w:r>
    </w:p>
  </w:footnote>
  <w:footnote w:id="173">
    <w:p w14:paraId="2DA4B987" w14:textId="13A4B36E" w:rsidR="002F67B6" w:rsidRPr="00AE7C94" w:rsidRDefault="002F67B6" w:rsidP="002F67B6">
      <w:pPr>
        <w:pStyle w:val="FootnoteText"/>
      </w:pPr>
      <w:r w:rsidRPr="00230876">
        <w:rPr>
          <w:rStyle w:val="FootnoteReference"/>
        </w:rPr>
        <w:footnoteRef/>
      </w:r>
      <w:r w:rsidRPr="00230876">
        <w:t xml:space="preserve"> </w:t>
      </w:r>
      <w:r w:rsidRPr="00230876">
        <w:tab/>
        <w:t>Aditus and Daphne Foundation, written input, pp. 42-44. Repubblika, written input, pp. 50-53, 78.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942299" w14:textId="77777777" w:rsidR="00AE52BC" w:rsidRPr="00AE52BC" w:rsidRDefault="00AE52BC" w:rsidP="00AE52B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1A39D" w14:textId="77777777" w:rsidR="00AE52BC" w:rsidRPr="00AE52BC" w:rsidRDefault="00AE52BC" w:rsidP="00AE52B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7C3AD" w14:textId="77777777" w:rsidR="00AE52BC" w:rsidRPr="00AE52BC" w:rsidRDefault="00AE52BC" w:rsidP="00AE52B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E3295" w14:textId="77777777" w:rsidR="002F67B6" w:rsidRDefault="002F67B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9DCDF5" w14:textId="02793929" w:rsidR="002F67B6" w:rsidRPr="00831AF2" w:rsidRDefault="002F67B6">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CFFD9F" w14:textId="77777777" w:rsidR="002F67B6" w:rsidRDefault="002F67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7606E"/>
    <w:multiLevelType w:val="hybridMultilevel"/>
    <w:tmpl w:val="53F42128"/>
    <w:lvl w:ilvl="0" w:tplc="3CA03CB2">
      <w:start w:val="1"/>
      <w:numFmt w:val="decimal"/>
      <w:lvlText w:val="%1."/>
      <w:lvlJc w:val="left"/>
      <w:pPr>
        <w:ind w:left="1440" w:hanging="360"/>
      </w:pPr>
      <w:rPr>
        <w:rFonts w:ascii="Symbol" w:hAnsi="Symbol"/>
      </w:rPr>
    </w:lvl>
    <w:lvl w:ilvl="1" w:tplc="A126DA02">
      <w:start w:val="1"/>
      <w:numFmt w:val="bullet"/>
      <w:lvlText w:val=""/>
      <w:lvlJc w:val="left"/>
      <w:pPr>
        <w:ind w:left="1800" w:hanging="360"/>
      </w:pPr>
      <w:rPr>
        <w:rFonts w:ascii="Symbol" w:hAnsi="Symbol"/>
      </w:rPr>
    </w:lvl>
    <w:lvl w:ilvl="2" w:tplc="028C2800">
      <w:start w:val="1"/>
      <w:numFmt w:val="bullet"/>
      <w:lvlText w:val=""/>
      <w:lvlJc w:val="left"/>
      <w:pPr>
        <w:ind w:left="1800" w:hanging="360"/>
      </w:pPr>
      <w:rPr>
        <w:rFonts w:ascii="Symbol" w:hAnsi="Symbol"/>
      </w:rPr>
    </w:lvl>
    <w:lvl w:ilvl="3" w:tplc="0DC8F0E2">
      <w:start w:val="1"/>
      <w:numFmt w:val="bullet"/>
      <w:lvlText w:val=""/>
      <w:lvlJc w:val="left"/>
      <w:pPr>
        <w:ind w:left="1800" w:hanging="360"/>
      </w:pPr>
      <w:rPr>
        <w:rFonts w:ascii="Symbol" w:hAnsi="Symbol"/>
      </w:rPr>
    </w:lvl>
    <w:lvl w:ilvl="4" w:tplc="9C84081E">
      <w:start w:val="1"/>
      <w:numFmt w:val="bullet"/>
      <w:lvlText w:val=""/>
      <w:lvlJc w:val="left"/>
      <w:pPr>
        <w:ind w:left="1800" w:hanging="360"/>
      </w:pPr>
      <w:rPr>
        <w:rFonts w:ascii="Symbol" w:hAnsi="Symbol"/>
      </w:rPr>
    </w:lvl>
    <w:lvl w:ilvl="5" w:tplc="D91818FE">
      <w:start w:val="1"/>
      <w:numFmt w:val="bullet"/>
      <w:lvlText w:val=""/>
      <w:lvlJc w:val="left"/>
      <w:pPr>
        <w:ind w:left="1800" w:hanging="360"/>
      </w:pPr>
      <w:rPr>
        <w:rFonts w:ascii="Symbol" w:hAnsi="Symbol"/>
      </w:rPr>
    </w:lvl>
    <w:lvl w:ilvl="6" w:tplc="246EDB7C">
      <w:start w:val="1"/>
      <w:numFmt w:val="bullet"/>
      <w:lvlText w:val=""/>
      <w:lvlJc w:val="left"/>
      <w:pPr>
        <w:ind w:left="1800" w:hanging="360"/>
      </w:pPr>
      <w:rPr>
        <w:rFonts w:ascii="Symbol" w:hAnsi="Symbol"/>
      </w:rPr>
    </w:lvl>
    <w:lvl w:ilvl="7" w:tplc="BE787536">
      <w:start w:val="1"/>
      <w:numFmt w:val="bullet"/>
      <w:lvlText w:val=""/>
      <w:lvlJc w:val="left"/>
      <w:pPr>
        <w:ind w:left="1800" w:hanging="360"/>
      </w:pPr>
      <w:rPr>
        <w:rFonts w:ascii="Symbol" w:hAnsi="Symbol"/>
      </w:rPr>
    </w:lvl>
    <w:lvl w:ilvl="8" w:tplc="1966A32C">
      <w:start w:val="1"/>
      <w:numFmt w:val="bullet"/>
      <w:lvlText w:val=""/>
      <w:lvlJc w:val="left"/>
      <w:pPr>
        <w:ind w:left="1800" w:hanging="360"/>
      </w:pPr>
      <w:rPr>
        <w:rFonts w:ascii="Symbol" w:hAnsi="Symbol"/>
      </w:rPr>
    </w:lvl>
  </w:abstractNum>
  <w:abstractNum w:abstractNumId="1" w15:restartNumberingAfterBreak="0">
    <w:nsid w:val="0A2900F7"/>
    <w:multiLevelType w:val="multilevel"/>
    <w:tmpl w:val="18F48788"/>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C0D2C660"/>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01C3A5D"/>
    <w:multiLevelType w:val="hybridMultilevel"/>
    <w:tmpl w:val="81E46922"/>
    <w:lvl w:ilvl="0" w:tplc="A67C62DA">
      <w:start w:val="1"/>
      <w:numFmt w:val="bullet"/>
      <w:lvlText w:val=""/>
      <w:lvlJc w:val="left"/>
      <w:pPr>
        <w:ind w:left="1080" w:hanging="360"/>
      </w:pPr>
      <w:rPr>
        <w:rFonts w:ascii="Symbol" w:hAnsi="Symbol"/>
      </w:rPr>
    </w:lvl>
    <w:lvl w:ilvl="1" w:tplc="AB80F5CC">
      <w:start w:val="1"/>
      <w:numFmt w:val="bullet"/>
      <w:lvlText w:val=""/>
      <w:lvlJc w:val="left"/>
      <w:pPr>
        <w:ind w:left="1080" w:hanging="360"/>
      </w:pPr>
      <w:rPr>
        <w:rFonts w:ascii="Symbol" w:hAnsi="Symbol"/>
      </w:rPr>
    </w:lvl>
    <w:lvl w:ilvl="2" w:tplc="2B3E356A">
      <w:start w:val="1"/>
      <w:numFmt w:val="bullet"/>
      <w:lvlText w:val=""/>
      <w:lvlJc w:val="left"/>
      <w:pPr>
        <w:ind w:left="1080" w:hanging="360"/>
      </w:pPr>
      <w:rPr>
        <w:rFonts w:ascii="Symbol" w:hAnsi="Symbol"/>
      </w:rPr>
    </w:lvl>
    <w:lvl w:ilvl="3" w:tplc="8FF40D50">
      <w:start w:val="1"/>
      <w:numFmt w:val="bullet"/>
      <w:lvlText w:val=""/>
      <w:lvlJc w:val="left"/>
      <w:pPr>
        <w:ind w:left="1080" w:hanging="360"/>
      </w:pPr>
      <w:rPr>
        <w:rFonts w:ascii="Symbol" w:hAnsi="Symbol"/>
      </w:rPr>
    </w:lvl>
    <w:lvl w:ilvl="4" w:tplc="2C2E3966">
      <w:start w:val="1"/>
      <w:numFmt w:val="bullet"/>
      <w:lvlText w:val=""/>
      <w:lvlJc w:val="left"/>
      <w:pPr>
        <w:ind w:left="1080" w:hanging="360"/>
      </w:pPr>
      <w:rPr>
        <w:rFonts w:ascii="Symbol" w:hAnsi="Symbol"/>
      </w:rPr>
    </w:lvl>
    <w:lvl w:ilvl="5" w:tplc="7984453C">
      <w:start w:val="1"/>
      <w:numFmt w:val="bullet"/>
      <w:lvlText w:val=""/>
      <w:lvlJc w:val="left"/>
      <w:pPr>
        <w:ind w:left="1080" w:hanging="360"/>
      </w:pPr>
      <w:rPr>
        <w:rFonts w:ascii="Symbol" w:hAnsi="Symbol"/>
      </w:rPr>
    </w:lvl>
    <w:lvl w:ilvl="6" w:tplc="91D29F7C">
      <w:start w:val="1"/>
      <w:numFmt w:val="bullet"/>
      <w:lvlText w:val=""/>
      <w:lvlJc w:val="left"/>
      <w:pPr>
        <w:ind w:left="1080" w:hanging="360"/>
      </w:pPr>
      <w:rPr>
        <w:rFonts w:ascii="Symbol" w:hAnsi="Symbol"/>
      </w:rPr>
    </w:lvl>
    <w:lvl w:ilvl="7" w:tplc="F258A334">
      <w:start w:val="1"/>
      <w:numFmt w:val="bullet"/>
      <w:lvlText w:val=""/>
      <w:lvlJc w:val="left"/>
      <w:pPr>
        <w:ind w:left="1080" w:hanging="360"/>
      </w:pPr>
      <w:rPr>
        <w:rFonts w:ascii="Symbol" w:hAnsi="Symbol"/>
      </w:rPr>
    </w:lvl>
    <w:lvl w:ilvl="8" w:tplc="83000F0C">
      <w:start w:val="1"/>
      <w:numFmt w:val="bullet"/>
      <w:lvlText w:val=""/>
      <w:lvlJc w:val="left"/>
      <w:pPr>
        <w:ind w:left="1080" w:hanging="360"/>
      </w:pPr>
      <w:rPr>
        <w:rFonts w:ascii="Symbol" w:hAnsi="Symbol"/>
      </w:rPr>
    </w:lvl>
  </w:abstractNum>
  <w:abstractNum w:abstractNumId="4" w15:restartNumberingAfterBreak="0">
    <w:nsid w:val="120B7201"/>
    <w:multiLevelType w:val="multilevel"/>
    <w:tmpl w:val="D1065662"/>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14789E64"/>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6F0E0BB2"/>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4FA68C3"/>
    <w:multiLevelType w:val="hybridMultilevel"/>
    <w:tmpl w:val="5D82DD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538372B"/>
    <w:multiLevelType w:val="hybridMultilevel"/>
    <w:tmpl w:val="4FFCDB22"/>
    <w:lvl w:ilvl="0" w:tplc="41B63A9E">
      <w:start w:val="1"/>
      <w:numFmt w:val="bullet"/>
      <w:lvlText w:val=""/>
      <w:lvlJc w:val="left"/>
      <w:pPr>
        <w:ind w:left="1080" w:hanging="360"/>
      </w:pPr>
      <w:rPr>
        <w:rFonts w:ascii="Symbol" w:hAnsi="Symbol"/>
      </w:rPr>
    </w:lvl>
    <w:lvl w:ilvl="1" w:tplc="1ED2BED6">
      <w:start w:val="1"/>
      <w:numFmt w:val="bullet"/>
      <w:lvlText w:val=""/>
      <w:lvlJc w:val="left"/>
      <w:pPr>
        <w:ind w:left="1080" w:hanging="360"/>
      </w:pPr>
      <w:rPr>
        <w:rFonts w:ascii="Symbol" w:hAnsi="Symbol"/>
      </w:rPr>
    </w:lvl>
    <w:lvl w:ilvl="2" w:tplc="9A1465EA">
      <w:start w:val="1"/>
      <w:numFmt w:val="bullet"/>
      <w:lvlText w:val=""/>
      <w:lvlJc w:val="left"/>
      <w:pPr>
        <w:ind w:left="1080" w:hanging="360"/>
      </w:pPr>
      <w:rPr>
        <w:rFonts w:ascii="Symbol" w:hAnsi="Symbol"/>
      </w:rPr>
    </w:lvl>
    <w:lvl w:ilvl="3" w:tplc="36E68F4E">
      <w:start w:val="1"/>
      <w:numFmt w:val="bullet"/>
      <w:lvlText w:val=""/>
      <w:lvlJc w:val="left"/>
      <w:pPr>
        <w:ind w:left="1080" w:hanging="360"/>
      </w:pPr>
      <w:rPr>
        <w:rFonts w:ascii="Symbol" w:hAnsi="Symbol"/>
      </w:rPr>
    </w:lvl>
    <w:lvl w:ilvl="4" w:tplc="1DD83E9A">
      <w:start w:val="1"/>
      <w:numFmt w:val="bullet"/>
      <w:lvlText w:val=""/>
      <w:lvlJc w:val="left"/>
      <w:pPr>
        <w:ind w:left="1080" w:hanging="360"/>
      </w:pPr>
      <w:rPr>
        <w:rFonts w:ascii="Symbol" w:hAnsi="Symbol"/>
      </w:rPr>
    </w:lvl>
    <w:lvl w:ilvl="5" w:tplc="F1029EC0">
      <w:start w:val="1"/>
      <w:numFmt w:val="bullet"/>
      <w:lvlText w:val=""/>
      <w:lvlJc w:val="left"/>
      <w:pPr>
        <w:ind w:left="1080" w:hanging="360"/>
      </w:pPr>
      <w:rPr>
        <w:rFonts w:ascii="Symbol" w:hAnsi="Symbol"/>
      </w:rPr>
    </w:lvl>
    <w:lvl w:ilvl="6" w:tplc="D8A2818C">
      <w:start w:val="1"/>
      <w:numFmt w:val="bullet"/>
      <w:lvlText w:val=""/>
      <w:lvlJc w:val="left"/>
      <w:pPr>
        <w:ind w:left="1080" w:hanging="360"/>
      </w:pPr>
      <w:rPr>
        <w:rFonts w:ascii="Symbol" w:hAnsi="Symbol"/>
      </w:rPr>
    </w:lvl>
    <w:lvl w:ilvl="7" w:tplc="6782661A">
      <w:start w:val="1"/>
      <w:numFmt w:val="bullet"/>
      <w:lvlText w:val=""/>
      <w:lvlJc w:val="left"/>
      <w:pPr>
        <w:ind w:left="1080" w:hanging="360"/>
      </w:pPr>
      <w:rPr>
        <w:rFonts w:ascii="Symbol" w:hAnsi="Symbol"/>
      </w:rPr>
    </w:lvl>
    <w:lvl w:ilvl="8" w:tplc="7D8AAF02">
      <w:start w:val="1"/>
      <w:numFmt w:val="bullet"/>
      <w:lvlText w:val=""/>
      <w:lvlJc w:val="left"/>
      <w:pPr>
        <w:ind w:left="1080" w:hanging="360"/>
      </w:pPr>
      <w:rPr>
        <w:rFonts w:ascii="Symbol" w:hAnsi="Symbol"/>
      </w:rPr>
    </w:lvl>
  </w:abstractNum>
  <w:abstractNum w:abstractNumId="9" w15:restartNumberingAfterBreak="0">
    <w:nsid w:val="15FF0846"/>
    <w:multiLevelType w:val="hybridMultilevel"/>
    <w:tmpl w:val="1DAA76EA"/>
    <w:lvl w:ilvl="0" w:tplc="0E5A02DC">
      <w:start w:val="1"/>
      <w:numFmt w:val="upperRoman"/>
      <w:lvlText w:val="%1."/>
      <w:lvlJc w:val="left"/>
      <w:pPr>
        <w:ind w:left="720" w:hanging="72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172F0AC5"/>
    <w:multiLevelType w:val="multilevel"/>
    <w:tmpl w:val="4E94D688"/>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17CA5C48"/>
    <w:multiLevelType w:val="hybridMultilevel"/>
    <w:tmpl w:val="0E8C79A4"/>
    <w:lvl w:ilvl="0" w:tplc="2F925D48">
      <w:start w:val="1"/>
      <w:numFmt w:val="lowerRoman"/>
      <w:lvlText w:val="%1."/>
      <w:lvlJc w:val="right"/>
      <w:pPr>
        <w:ind w:left="1920" w:hanging="360"/>
      </w:pPr>
    </w:lvl>
    <w:lvl w:ilvl="1" w:tplc="1C1EF4D4">
      <w:start w:val="1"/>
      <w:numFmt w:val="lowerRoman"/>
      <w:lvlText w:val="%2."/>
      <w:lvlJc w:val="right"/>
      <w:pPr>
        <w:ind w:left="1920" w:hanging="360"/>
      </w:pPr>
    </w:lvl>
    <w:lvl w:ilvl="2" w:tplc="FFCE29FC">
      <w:start w:val="1"/>
      <w:numFmt w:val="lowerRoman"/>
      <w:lvlText w:val="%3."/>
      <w:lvlJc w:val="right"/>
      <w:pPr>
        <w:ind w:left="1920" w:hanging="360"/>
      </w:pPr>
    </w:lvl>
    <w:lvl w:ilvl="3" w:tplc="2220701A">
      <w:start w:val="1"/>
      <w:numFmt w:val="lowerRoman"/>
      <w:lvlText w:val="%4."/>
      <w:lvlJc w:val="right"/>
      <w:pPr>
        <w:ind w:left="1920" w:hanging="360"/>
      </w:pPr>
    </w:lvl>
    <w:lvl w:ilvl="4" w:tplc="F0966784">
      <w:start w:val="1"/>
      <w:numFmt w:val="lowerRoman"/>
      <w:lvlText w:val="%5."/>
      <w:lvlJc w:val="right"/>
      <w:pPr>
        <w:ind w:left="1920" w:hanging="360"/>
      </w:pPr>
    </w:lvl>
    <w:lvl w:ilvl="5" w:tplc="C00AB65E">
      <w:start w:val="1"/>
      <w:numFmt w:val="lowerRoman"/>
      <w:lvlText w:val="%6."/>
      <w:lvlJc w:val="right"/>
      <w:pPr>
        <w:ind w:left="1920" w:hanging="360"/>
      </w:pPr>
    </w:lvl>
    <w:lvl w:ilvl="6" w:tplc="B15CBDFA">
      <w:start w:val="1"/>
      <w:numFmt w:val="lowerRoman"/>
      <w:lvlText w:val="%7."/>
      <w:lvlJc w:val="right"/>
      <w:pPr>
        <w:ind w:left="1920" w:hanging="360"/>
      </w:pPr>
    </w:lvl>
    <w:lvl w:ilvl="7" w:tplc="9364CF34">
      <w:start w:val="1"/>
      <w:numFmt w:val="lowerRoman"/>
      <w:lvlText w:val="%8."/>
      <w:lvlJc w:val="right"/>
      <w:pPr>
        <w:ind w:left="1920" w:hanging="360"/>
      </w:pPr>
    </w:lvl>
    <w:lvl w:ilvl="8" w:tplc="BBEC01BE">
      <w:start w:val="1"/>
      <w:numFmt w:val="lowerRoman"/>
      <w:lvlText w:val="%9."/>
      <w:lvlJc w:val="right"/>
      <w:pPr>
        <w:ind w:left="1920" w:hanging="360"/>
      </w:pPr>
    </w:lvl>
  </w:abstractNum>
  <w:abstractNum w:abstractNumId="12" w15:restartNumberingAfterBreak="0">
    <w:nsid w:val="1C7B624F"/>
    <w:multiLevelType w:val="multilevel"/>
    <w:tmpl w:val="72B63690"/>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1F8B5A54"/>
    <w:multiLevelType w:val="hybridMultilevel"/>
    <w:tmpl w:val="476085DA"/>
    <w:lvl w:ilvl="0" w:tplc="A656BAB6">
      <w:start w:val="1"/>
      <w:numFmt w:val="bullet"/>
      <w:lvlText w:val=""/>
      <w:lvlJc w:val="left"/>
      <w:pPr>
        <w:ind w:left="1080" w:hanging="360"/>
      </w:pPr>
      <w:rPr>
        <w:rFonts w:ascii="Symbol" w:hAnsi="Symbol"/>
      </w:rPr>
    </w:lvl>
    <w:lvl w:ilvl="1" w:tplc="66BE1EF8">
      <w:start w:val="1"/>
      <w:numFmt w:val="bullet"/>
      <w:lvlText w:val=""/>
      <w:lvlJc w:val="left"/>
      <w:pPr>
        <w:ind w:left="1080" w:hanging="360"/>
      </w:pPr>
      <w:rPr>
        <w:rFonts w:ascii="Symbol" w:hAnsi="Symbol"/>
      </w:rPr>
    </w:lvl>
    <w:lvl w:ilvl="2" w:tplc="6F267A4A">
      <w:start w:val="1"/>
      <w:numFmt w:val="bullet"/>
      <w:lvlText w:val=""/>
      <w:lvlJc w:val="left"/>
      <w:pPr>
        <w:ind w:left="1080" w:hanging="360"/>
      </w:pPr>
      <w:rPr>
        <w:rFonts w:ascii="Symbol" w:hAnsi="Symbol"/>
      </w:rPr>
    </w:lvl>
    <w:lvl w:ilvl="3" w:tplc="D06C7BA2">
      <w:start w:val="1"/>
      <w:numFmt w:val="bullet"/>
      <w:lvlText w:val=""/>
      <w:lvlJc w:val="left"/>
      <w:pPr>
        <w:ind w:left="1080" w:hanging="360"/>
      </w:pPr>
      <w:rPr>
        <w:rFonts w:ascii="Symbol" w:hAnsi="Symbol"/>
      </w:rPr>
    </w:lvl>
    <w:lvl w:ilvl="4" w:tplc="94ECC29E">
      <w:start w:val="1"/>
      <w:numFmt w:val="bullet"/>
      <w:lvlText w:val=""/>
      <w:lvlJc w:val="left"/>
      <w:pPr>
        <w:ind w:left="1080" w:hanging="360"/>
      </w:pPr>
      <w:rPr>
        <w:rFonts w:ascii="Symbol" w:hAnsi="Symbol"/>
      </w:rPr>
    </w:lvl>
    <w:lvl w:ilvl="5" w:tplc="C608ABF4">
      <w:start w:val="1"/>
      <w:numFmt w:val="bullet"/>
      <w:lvlText w:val=""/>
      <w:lvlJc w:val="left"/>
      <w:pPr>
        <w:ind w:left="1080" w:hanging="360"/>
      </w:pPr>
      <w:rPr>
        <w:rFonts w:ascii="Symbol" w:hAnsi="Symbol"/>
      </w:rPr>
    </w:lvl>
    <w:lvl w:ilvl="6" w:tplc="465E15B4">
      <w:start w:val="1"/>
      <w:numFmt w:val="bullet"/>
      <w:lvlText w:val=""/>
      <w:lvlJc w:val="left"/>
      <w:pPr>
        <w:ind w:left="1080" w:hanging="360"/>
      </w:pPr>
      <w:rPr>
        <w:rFonts w:ascii="Symbol" w:hAnsi="Symbol"/>
      </w:rPr>
    </w:lvl>
    <w:lvl w:ilvl="7" w:tplc="FC40C302">
      <w:start w:val="1"/>
      <w:numFmt w:val="bullet"/>
      <w:lvlText w:val=""/>
      <w:lvlJc w:val="left"/>
      <w:pPr>
        <w:ind w:left="1080" w:hanging="360"/>
      </w:pPr>
      <w:rPr>
        <w:rFonts w:ascii="Symbol" w:hAnsi="Symbol"/>
      </w:rPr>
    </w:lvl>
    <w:lvl w:ilvl="8" w:tplc="98101550">
      <w:start w:val="1"/>
      <w:numFmt w:val="bullet"/>
      <w:lvlText w:val=""/>
      <w:lvlJc w:val="left"/>
      <w:pPr>
        <w:ind w:left="1080" w:hanging="360"/>
      </w:pPr>
      <w:rPr>
        <w:rFonts w:ascii="Symbol" w:hAnsi="Symbol"/>
      </w:rPr>
    </w:lvl>
  </w:abstractNum>
  <w:abstractNum w:abstractNumId="14" w15:restartNumberingAfterBreak="0">
    <w:nsid w:val="207430B2"/>
    <w:multiLevelType w:val="hybridMultilevel"/>
    <w:tmpl w:val="A4C81A72"/>
    <w:lvl w:ilvl="0" w:tplc="E91A2EB4">
      <w:start w:val="1"/>
      <w:numFmt w:val="bullet"/>
      <w:lvlText w:val=""/>
      <w:lvlJc w:val="left"/>
      <w:pPr>
        <w:ind w:left="1080" w:hanging="360"/>
      </w:pPr>
      <w:rPr>
        <w:rFonts w:ascii="Symbol" w:hAnsi="Symbol"/>
      </w:rPr>
    </w:lvl>
    <w:lvl w:ilvl="1" w:tplc="FD08D27E">
      <w:start w:val="1"/>
      <w:numFmt w:val="bullet"/>
      <w:lvlText w:val=""/>
      <w:lvlJc w:val="left"/>
      <w:pPr>
        <w:ind w:left="1080" w:hanging="360"/>
      </w:pPr>
      <w:rPr>
        <w:rFonts w:ascii="Symbol" w:hAnsi="Symbol"/>
      </w:rPr>
    </w:lvl>
    <w:lvl w:ilvl="2" w:tplc="C57E0AF4">
      <w:start w:val="1"/>
      <w:numFmt w:val="bullet"/>
      <w:lvlText w:val=""/>
      <w:lvlJc w:val="left"/>
      <w:pPr>
        <w:ind w:left="1080" w:hanging="360"/>
      </w:pPr>
      <w:rPr>
        <w:rFonts w:ascii="Symbol" w:hAnsi="Symbol"/>
      </w:rPr>
    </w:lvl>
    <w:lvl w:ilvl="3" w:tplc="A1862CAE">
      <w:start w:val="1"/>
      <w:numFmt w:val="bullet"/>
      <w:lvlText w:val=""/>
      <w:lvlJc w:val="left"/>
      <w:pPr>
        <w:ind w:left="1080" w:hanging="360"/>
      </w:pPr>
      <w:rPr>
        <w:rFonts w:ascii="Symbol" w:hAnsi="Symbol"/>
      </w:rPr>
    </w:lvl>
    <w:lvl w:ilvl="4" w:tplc="968E6972">
      <w:start w:val="1"/>
      <w:numFmt w:val="bullet"/>
      <w:lvlText w:val=""/>
      <w:lvlJc w:val="left"/>
      <w:pPr>
        <w:ind w:left="1080" w:hanging="360"/>
      </w:pPr>
      <w:rPr>
        <w:rFonts w:ascii="Symbol" w:hAnsi="Symbol"/>
      </w:rPr>
    </w:lvl>
    <w:lvl w:ilvl="5" w:tplc="984AC508">
      <w:start w:val="1"/>
      <w:numFmt w:val="bullet"/>
      <w:lvlText w:val=""/>
      <w:lvlJc w:val="left"/>
      <w:pPr>
        <w:ind w:left="1080" w:hanging="360"/>
      </w:pPr>
      <w:rPr>
        <w:rFonts w:ascii="Symbol" w:hAnsi="Symbol"/>
      </w:rPr>
    </w:lvl>
    <w:lvl w:ilvl="6" w:tplc="3D82149E">
      <w:start w:val="1"/>
      <w:numFmt w:val="bullet"/>
      <w:lvlText w:val=""/>
      <w:lvlJc w:val="left"/>
      <w:pPr>
        <w:ind w:left="1080" w:hanging="360"/>
      </w:pPr>
      <w:rPr>
        <w:rFonts w:ascii="Symbol" w:hAnsi="Symbol"/>
      </w:rPr>
    </w:lvl>
    <w:lvl w:ilvl="7" w:tplc="370069B8">
      <w:start w:val="1"/>
      <w:numFmt w:val="bullet"/>
      <w:lvlText w:val=""/>
      <w:lvlJc w:val="left"/>
      <w:pPr>
        <w:ind w:left="1080" w:hanging="360"/>
      </w:pPr>
      <w:rPr>
        <w:rFonts w:ascii="Symbol" w:hAnsi="Symbol"/>
      </w:rPr>
    </w:lvl>
    <w:lvl w:ilvl="8" w:tplc="4B1CFBF6">
      <w:start w:val="1"/>
      <w:numFmt w:val="bullet"/>
      <w:lvlText w:val=""/>
      <w:lvlJc w:val="left"/>
      <w:pPr>
        <w:ind w:left="1080" w:hanging="360"/>
      </w:pPr>
      <w:rPr>
        <w:rFonts w:ascii="Symbol" w:hAnsi="Symbol"/>
      </w:rPr>
    </w:lvl>
  </w:abstractNum>
  <w:abstractNum w:abstractNumId="15" w15:restartNumberingAfterBreak="0">
    <w:nsid w:val="29751507"/>
    <w:multiLevelType w:val="hybridMultilevel"/>
    <w:tmpl w:val="B4B4CA04"/>
    <w:lvl w:ilvl="0" w:tplc="AF1AED3C">
      <w:start w:val="1"/>
      <w:numFmt w:val="decimal"/>
      <w:lvlText w:val="%1."/>
      <w:lvlJc w:val="left"/>
      <w:pPr>
        <w:ind w:left="1440" w:hanging="360"/>
      </w:pPr>
    </w:lvl>
    <w:lvl w:ilvl="1" w:tplc="D980B18A">
      <w:start w:val="1"/>
      <w:numFmt w:val="decimal"/>
      <w:lvlText w:val="%2."/>
      <w:lvlJc w:val="left"/>
      <w:pPr>
        <w:ind w:left="1440" w:hanging="360"/>
      </w:pPr>
    </w:lvl>
    <w:lvl w:ilvl="2" w:tplc="952AE640">
      <w:start w:val="1"/>
      <w:numFmt w:val="decimal"/>
      <w:lvlText w:val="%3."/>
      <w:lvlJc w:val="left"/>
      <w:pPr>
        <w:ind w:left="1440" w:hanging="360"/>
      </w:pPr>
    </w:lvl>
    <w:lvl w:ilvl="3" w:tplc="C52CCEEE">
      <w:start w:val="1"/>
      <w:numFmt w:val="decimal"/>
      <w:lvlText w:val="%4."/>
      <w:lvlJc w:val="left"/>
      <w:pPr>
        <w:ind w:left="1440" w:hanging="360"/>
      </w:pPr>
    </w:lvl>
    <w:lvl w:ilvl="4" w:tplc="3C169B96">
      <w:start w:val="1"/>
      <w:numFmt w:val="decimal"/>
      <w:lvlText w:val="%5."/>
      <w:lvlJc w:val="left"/>
      <w:pPr>
        <w:ind w:left="1440" w:hanging="360"/>
      </w:pPr>
    </w:lvl>
    <w:lvl w:ilvl="5" w:tplc="602604C2">
      <w:start w:val="1"/>
      <w:numFmt w:val="decimal"/>
      <w:lvlText w:val="%6."/>
      <w:lvlJc w:val="left"/>
      <w:pPr>
        <w:ind w:left="1440" w:hanging="360"/>
      </w:pPr>
    </w:lvl>
    <w:lvl w:ilvl="6" w:tplc="F9642B2C">
      <w:start w:val="1"/>
      <w:numFmt w:val="decimal"/>
      <w:lvlText w:val="%7."/>
      <w:lvlJc w:val="left"/>
      <w:pPr>
        <w:ind w:left="1440" w:hanging="360"/>
      </w:pPr>
    </w:lvl>
    <w:lvl w:ilvl="7" w:tplc="89FCEC2E">
      <w:start w:val="1"/>
      <w:numFmt w:val="decimal"/>
      <w:lvlText w:val="%8."/>
      <w:lvlJc w:val="left"/>
      <w:pPr>
        <w:ind w:left="1440" w:hanging="360"/>
      </w:pPr>
    </w:lvl>
    <w:lvl w:ilvl="8" w:tplc="40D23B4A">
      <w:start w:val="1"/>
      <w:numFmt w:val="decimal"/>
      <w:lvlText w:val="%9."/>
      <w:lvlJc w:val="left"/>
      <w:pPr>
        <w:ind w:left="1440" w:hanging="360"/>
      </w:pPr>
    </w:lvl>
  </w:abstractNum>
  <w:abstractNum w:abstractNumId="16" w15:restartNumberingAfterBreak="0">
    <w:nsid w:val="2C8DFDF8"/>
    <w:multiLevelType w:val="multilevel"/>
    <w:tmpl w:val="BA084E0A"/>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2D293CE3"/>
    <w:multiLevelType w:val="multilevel"/>
    <w:tmpl w:val="EA1E1D2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2D293CF4"/>
    <w:multiLevelType w:val="multilevel"/>
    <w:tmpl w:val="FFCA7A0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2F4B1319"/>
    <w:multiLevelType w:val="hybridMultilevel"/>
    <w:tmpl w:val="F2E62C24"/>
    <w:lvl w:ilvl="0" w:tplc="E11C8006">
      <w:start w:val="1"/>
      <w:numFmt w:val="decimal"/>
      <w:lvlText w:val="%1."/>
      <w:lvlJc w:val="left"/>
      <w:pPr>
        <w:ind w:left="1440" w:hanging="360"/>
      </w:pPr>
      <w:rPr>
        <w:rFonts w:ascii="Symbol" w:hAnsi="Symbol"/>
      </w:rPr>
    </w:lvl>
    <w:lvl w:ilvl="1" w:tplc="D3C267EE">
      <w:start w:val="1"/>
      <w:numFmt w:val="bullet"/>
      <w:lvlText w:val=""/>
      <w:lvlJc w:val="left"/>
      <w:pPr>
        <w:ind w:left="1800" w:hanging="360"/>
      </w:pPr>
      <w:rPr>
        <w:rFonts w:ascii="Symbol" w:hAnsi="Symbol"/>
      </w:rPr>
    </w:lvl>
    <w:lvl w:ilvl="2" w:tplc="A000A33C">
      <w:start w:val="1"/>
      <w:numFmt w:val="bullet"/>
      <w:lvlText w:val=""/>
      <w:lvlJc w:val="left"/>
      <w:pPr>
        <w:ind w:left="1800" w:hanging="360"/>
      </w:pPr>
      <w:rPr>
        <w:rFonts w:ascii="Symbol" w:hAnsi="Symbol"/>
      </w:rPr>
    </w:lvl>
    <w:lvl w:ilvl="3" w:tplc="C6982890">
      <w:start w:val="1"/>
      <w:numFmt w:val="bullet"/>
      <w:lvlText w:val=""/>
      <w:lvlJc w:val="left"/>
      <w:pPr>
        <w:ind w:left="1800" w:hanging="360"/>
      </w:pPr>
      <w:rPr>
        <w:rFonts w:ascii="Symbol" w:hAnsi="Symbol"/>
      </w:rPr>
    </w:lvl>
    <w:lvl w:ilvl="4" w:tplc="93DCD36A">
      <w:start w:val="1"/>
      <w:numFmt w:val="bullet"/>
      <w:lvlText w:val=""/>
      <w:lvlJc w:val="left"/>
      <w:pPr>
        <w:ind w:left="1800" w:hanging="360"/>
      </w:pPr>
      <w:rPr>
        <w:rFonts w:ascii="Symbol" w:hAnsi="Symbol"/>
      </w:rPr>
    </w:lvl>
    <w:lvl w:ilvl="5" w:tplc="064E4BF8">
      <w:start w:val="1"/>
      <w:numFmt w:val="bullet"/>
      <w:lvlText w:val=""/>
      <w:lvlJc w:val="left"/>
      <w:pPr>
        <w:ind w:left="1800" w:hanging="360"/>
      </w:pPr>
      <w:rPr>
        <w:rFonts w:ascii="Symbol" w:hAnsi="Symbol"/>
      </w:rPr>
    </w:lvl>
    <w:lvl w:ilvl="6" w:tplc="E89A1EF4">
      <w:start w:val="1"/>
      <w:numFmt w:val="bullet"/>
      <w:lvlText w:val=""/>
      <w:lvlJc w:val="left"/>
      <w:pPr>
        <w:ind w:left="1800" w:hanging="360"/>
      </w:pPr>
      <w:rPr>
        <w:rFonts w:ascii="Symbol" w:hAnsi="Symbol"/>
      </w:rPr>
    </w:lvl>
    <w:lvl w:ilvl="7" w:tplc="F612BC92">
      <w:start w:val="1"/>
      <w:numFmt w:val="bullet"/>
      <w:lvlText w:val=""/>
      <w:lvlJc w:val="left"/>
      <w:pPr>
        <w:ind w:left="1800" w:hanging="360"/>
      </w:pPr>
      <w:rPr>
        <w:rFonts w:ascii="Symbol" w:hAnsi="Symbol"/>
      </w:rPr>
    </w:lvl>
    <w:lvl w:ilvl="8" w:tplc="C46631D4">
      <w:start w:val="1"/>
      <w:numFmt w:val="bullet"/>
      <w:lvlText w:val=""/>
      <w:lvlJc w:val="left"/>
      <w:pPr>
        <w:ind w:left="1800" w:hanging="360"/>
      </w:pPr>
      <w:rPr>
        <w:rFonts w:ascii="Symbol" w:hAnsi="Symbol"/>
      </w:rPr>
    </w:lvl>
  </w:abstractNum>
  <w:abstractNum w:abstractNumId="20" w15:restartNumberingAfterBreak="0">
    <w:nsid w:val="31205795"/>
    <w:multiLevelType w:val="hybridMultilevel"/>
    <w:tmpl w:val="1A9671E8"/>
    <w:lvl w:ilvl="0" w:tplc="ED36B4A8">
      <w:start w:val="1"/>
      <w:numFmt w:val="upperRoman"/>
      <w:lvlText w:val="%1."/>
      <w:lvlJc w:val="left"/>
      <w:pPr>
        <w:ind w:left="990" w:hanging="720"/>
      </w:pPr>
      <w:rPr>
        <w:rFonts w:hint="default"/>
        <w:u w:val="none"/>
      </w:rPr>
    </w:lvl>
    <w:lvl w:ilvl="1" w:tplc="040C0019">
      <w:start w:val="1"/>
      <w:numFmt w:val="lowerLetter"/>
      <w:lvlText w:val="%2."/>
      <w:lvlJc w:val="left"/>
      <w:pPr>
        <w:ind w:left="1350" w:hanging="360"/>
      </w:pPr>
    </w:lvl>
    <w:lvl w:ilvl="2" w:tplc="040C001B" w:tentative="1">
      <w:start w:val="1"/>
      <w:numFmt w:val="lowerRoman"/>
      <w:lvlText w:val="%3."/>
      <w:lvlJc w:val="right"/>
      <w:pPr>
        <w:ind w:left="2070" w:hanging="180"/>
      </w:pPr>
    </w:lvl>
    <w:lvl w:ilvl="3" w:tplc="040C000F" w:tentative="1">
      <w:start w:val="1"/>
      <w:numFmt w:val="decimal"/>
      <w:lvlText w:val="%4."/>
      <w:lvlJc w:val="left"/>
      <w:pPr>
        <w:ind w:left="2790" w:hanging="360"/>
      </w:pPr>
    </w:lvl>
    <w:lvl w:ilvl="4" w:tplc="040C0019" w:tentative="1">
      <w:start w:val="1"/>
      <w:numFmt w:val="lowerLetter"/>
      <w:lvlText w:val="%5."/>
      <w:lvlJc w:val="left"/>
      <w:pPr>
        <w:ind w:left="3510" w:hanging="360"/>
      </w:pPr>
    </w:lvl>
    <w:lvl w:ilvl="5" w:tplc="040C001B" w:tentative="1">
      <w:start w:val="1"/>
      <w:numFmt w:val="lowerRoman"/>
      <w:lvlText w:val="%6."/>
      <w:lvlJc w:val="right"/>
      <w:pPr>
        <w:ind w:left="4230" w:hanging="180"/>
      </w:pPr>
    </w:lvl>
    <w:lvl w:ilvl="6" w:tplc="040C000F" w:tentative="1">
      <w:start w:val="1"/>
      <w:numFmt w:val="decimal"/>
      <w:lvlText w:val="%7."/>
      <w:lvlJc w:val="left"/>
      <w:pPr>
        <w:ind w:left="4950" w:hanging="360"/>
      </w:pPr>
    </w:lvl>
    <w:lvl w:ilvl="7" w:tplc="040C0019" w:tentative="1">
      <w:start w:val="1"/>
      <w:numFmt w:val="lowerLetter"/>
      <w:lvlText w:val="%8."/>
      <w:lvlJc w:val="left"/>
      <w:pPr>
        <w:ind w:left="5670" w:hanging="360"/>
      </w:pPr>
    </w:lvl>
    <w:lvl w:ilvl="8" w:tplc="040C001B" w:tentative="1">
      <w:start w:val="1"/>
      <w:numFmt w:val="lowerRoman"/>
      <w:lvlText w:val="%9."/>
      <w:lvlJc w:val="right"/>
      <w:pPr>
        <w:ind w:left="6390" w:hanging="180"/>
      </w:pPr>
    </w:lvl>
  </w:abstractNum>
  <w:abstractNum w:abstractNumId="21" w15:restartNumberingAfterBreak="0">
    <w:nsid w:val="36324F1E"/>
    <w:multiLevelType w:val="multilevel"/>
    <w:tmpl w:val="8F6236B4"/>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37CB1E1C"/>
    <w:multiLevelType w:val="multilevel"/>
    <w:tmpl w:val="CE7AB1C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386A075F"/>
    <w:multiLevelType w:val="hybridMultilevel"/>
    <w:tmpl w:val="E500F7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3A7730C4"/>
    <w:multiLevelType w:val="multilevel"/>
    <w:tmpl w:val="9D925636"/>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3A80740A"/>
    <w:multiLevelType w:val="hybridMultilevel"/>
    <w:tmpl w:val="E09EB5D6"/>
    <w:lvl w:ilvl="0" w:tplc="7BA618F4">
      <w:start w:val="1"/>
      <w:numFmt w:val="lowerRoman"/>
      <w:lvlText w:val="%1."/>
      <w:lvlJc w:val="right"/>
      <w:pPr>
        <w:ind w:left="1920" w:hanging="360"/>
      </w:pPr>
    </w:lvl>
    <w:lvl w:ilvl="1" w:tplc="B6E8994C">
      <w:start w:val="1"/>
      <w:numFmt w:val="lowerRoman"/>
      <w:lvlText w:val="%2."/>
      <w:lvlJc w:val="right"/>
      <w:pPr>
        <w:ind w:left="1920" w:hanging="360"/>
      </w:pPr>
    </w:lvl>
    <w:lvl w:ilvl="2" w:tplc="6ABE569C">
      <w:start w:val="1"/>
      <w:numFmt w:val="lowerRoman"/>
      <w:lvlText w:val="%3."/>
      <w:lvlJc w:val="right"/>
      <w:pPr>
        <w:ind w:left="1920" w:hanging="360"/>
      </w:pPr>
    </w:lvl>
    <w:lvl w:ilvl="3" w:tplc="327C32D8">
      <w:start w:val="1"/>
      <w:numFmt w:val="lowerRoman"/>
      <w:lvlText w:val="%4."/>
      <w:lvlJc w:val="right"/>
      <w:pPr>
        <w:ind w:left="1920" w:hanging="360"/>
      </w:pPr>
    </w:lvl>
    <w:lvl w:ilvl="4" w:tplc="F1480CC2">
      <w:start w:val="1"/>
      <w:numFmt w:val="lowerRoman"/>
      <w:lvlText w:val="%5."/>
      <w:lvlJc w:val="right"/>
      <w:pPr>
        <w:ind w:left="1920" w:hanging="360"/>
      </w:pPr>
    </w:lvl>
    <w:lvl w:ilvl="5" w:tplc="E2A437F8">
      <w:start w:val="1"/>
      <w:numFmt w:val="lowerRoman"/>
      <w:lvlText w:val="%6."/>
      <w:lvlJc w:val="right"/>
      <w:pPr>
        <w:ind w:left="1920" w:hanging="360"/>
      </w:pPr>
    </w:lvl>
    <w:lvl w:ilvl="6" w:tplc="7AA45690">
      <w:start w:val="1"/>
      <w:numFmt w:val="lowerRoman"/>
      <w:lvlText w:val="%7."/>
      <w:lvlJc w:val="right"/>
      <w:pPr>
        <w:ind w:left="1920" w:hanging="360"/>
      </w:pPr>
    </w:lvl>
    <w:lvl w:ilvl="7" w:tplc="3AD2FC02">
      <w:start w:val="1"/>
      <w:numFmt w:val="lowerRoman"/>
      <w:lvlText w:val="%8."/>
      <w:lvlJc w:val="right"/>
      <w:pPr>
        <w:ind w:left="1920" w:hanging="360"/>
      </w:pPr>
    </w:lvl>
    <w:lvl w:ilvl="8" w:tplc="7A38394C">
      <w:start w:val="1"/>
      <w:numFmt w:val="lowerRoman"/>
      <w:lvlText w:val="%9."/>
      <w:lvlJc w:val="right"/>
      <w:pPr>
        <w:ind w:left="1920" w:hanging="360"/>
      </w:pPr>
    </w:lvl>
  </w:abstractNum>
  <w:abstractNum w:abstractNumId="26" w15:restartNumberingAfterBreak="0">
    <w:nsid w:val="429E662A"/>
    <w:multiLevelType w:val="multilevel"/>
    <w:tmpl w:val="8500BCE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49A32800"/>
    <w:multiLevelType w:val="hybridMultilevel"/>
    <w:tmpl w:val="CE6C7A50"/>
    <w:lvl w:ilvl="0" w:tplc="18090013">
      <w:start w:val="1"/>
      <w:numFmt w:val="upperRoman"/>
      <w:lvlText w:val="%1."/>
      <w:lvlJc w:val="right"/>
      <w:pPr>
        <w:ind w:left="360" w:hanging="360"/>
      </w:pPr>
    </w:lvl>
    <w:lvl w:ilvl="1" w:tplc="18090019" w:tentative="1">
      <w:start w:val="1"/>
      <w:numFmt w:val="lowerLetter"/>
      <w:lvlText w:val="%2."/>
      <w:lvlJc w:val="left"/>
      <w:pPr>
        <w:ind w:left="796" w:hanging="360"/>
      </w:pPr>
    </w:lvl>
    <w:lvl w:ilvl="2" w:tplc="1809001B" w:tentative="1">
      <w:start w:val="1"/>
      <w:numFmt w:val="lowerRoman"/>
      <w:lvlText w:val="%3."/>
      <w:lvlJc w:val="right"/>
      <w:pPr>
        <w:ind w:left="1516" w:hanging="180"/>
      </w:pPr>
    </w:lvl>
    <w:lvl w:ilvl="3" w:tplc="1809000F" w:tentative="1">
      <w:start w:val="1"/>
      <w:numFmt w:val="decimal"/>
      <w:lvlText w:val="%4."/>
      <w:lvlJc w:val="left"/>
      <w:pPr>
        <w:ind w:left="2236" w:hanging="360"/>
      </w:pPr>
    </w:lvl>
    <w:lvl w:ilvl="4" w:tplc="18090019" w:tentative="1">
      <w:start w:val="1"/>
      <w:numFmt w:val="lowerLetter"/>
      <w:lvlText w:val="%5."/>
      <w:lvlJc w:val="left"/>
      <w:pPr>
        <w:ind w:left="2956" w:hanging="360"/>
      </w:pPr>
    </w:lvl>
    <w:lvl w:ilvl="5" w:tplc="1809001B" w:tentative="1">
      <w:start w:val="1"/>
      <w:numFmt w:val="lowerRoman"/>
      <w:lvlText w:val="%6."/>
      <w:lvlJc w:val="right"/>
      <w:pPr>
        <w:ind w:left="3676" w:hanging="180"/>
      </w:pPr>
    </w:lvl>
    <w:lvl w:ilvl="6" w:tplc="1809000F" w:tentative="1">
      <w:start w:val="1"/>
      <w:numFmt w:val="decimal"/>
      <w:lvlText w:val="%7."/>
      <w:lvlJc w:val="left"/>
      <w:pPr>
        <w:ind w:left="4396" w:hanging="360"/>
      </w:pPr>
    </w:lvl>
    <w:lvl w:ilvl="7" w:tplc="18090019" w:tentative="1">
      <w:start w:val="1"/>
      <w:numFmt w:val="lowerLetter"/>
      <w:lvlText w:val="%8."/>
      <w:lvlJc w:val="left"/>
      <w:pPr>
        <w:ind w:left="5116" w:hanging="360"/>
      </w:pPr>
    </w:lvl>
    <w:lvl w:ilvl="8" w:tplc="1809001B" w:tentative="1">
      <w:start w:val="1"/>
      <w:numFmt w:val="lowerRoman"/>
      <w:lvlText w:val="%9."/>
      <w:lvlJc w:val="right"/>
      <w:pPr>
        <w:ind w:left="5836" w:hanging="180"/>
      </w:pPr>
    </w:lvl>
  </w:abstractNum>
  <w:abstractNum w:abstractNumId="28" w15:restartNumberingAfterBreak="0">
    <w:nsid w:val="4AA303D5"/>
    <w:multiLevelType w:val="hybridMultilevel"/>
    <w:tmpl w:val="71E82C9A"/>
    <w:lvl w:ilvl="0" w:tplc="82767448">
      <w:start w:val="1"/>
      <w:numFmt w:val="bullet"/>
      <w:lvlText w:val=""/>
      <w:lvlJc w:val="left"/>
      <w:pPr>
        <w:ind w:left="1080" w:hanging="360"/>
      </w:pPr>
      <w:rPr>
        <w:rFonts w:ascii="Symbol" w:hAnsi="Symbol"/>
      </w:rPr>
    </w:lvl>
    <w:lvl w:ilvl="1" w:tplc="59B85AA6">
      <w:start w:val="1"/>
      <w:numFmt w:val="bullet"/>
      <w:lvlText w:val=""/>
      <w:lvlJc w:val="left"/>
      <w:pPr>
        <w:ind w:left="1080" w:hanging="360"/>
      </w:pPr>
      <w:rPr>
        <w:rFonts w:ascii="Symbol" w:hAnsi="Symbol"/>
      </w:rPr>
    </w:lvl>
    <w:lvl w:ilvl="2" w:tplc="1F94DA20">
      <w:start w:val="1"/>
      <w:numFmt w:val="bullet"/>
      <w:lvlText w:val=""/>
      <w:lvlJc w:val="left"/>
      <w:pPr>
        <w:ind w:left="1080" w:hanging="360"/>
      </w:pPr>
      <w:rPr>
        <w:rFonts w:ascii="Symbol" w:hAnsi="Symbol"/>
      </w:rPr>
    </w:lvl>
    <w:lvl w:ilvl="3" w:tplc="A15A6102">
      <w:start w:val="1"/>
      <w:numFmt w:val="bullet"/>
      <w:lvlText w:val=""/>
      <w:lvlJc w:val="left"/>
      <w:pPr>
        <w:ind w:left="1080" w:hanging="360"/>
      </w:pPr>
      <w:rPr>
        <w:rFonts w:ascii="Symbol" w:hAnsi="Symbol"/>
      </w:rPr>
    </w:lvl>
    <w:lvl w:ilvl="4" w:tplc="F6A267C2">
      <w:start w:val="1"/>
      <w:numFmt w:val="bullet"/>
      <w:lvlText w:val=""/>
      <w:lvlJc w:val="left"/>
      <w:pPr>
        <w:ind w:left="1080" w:hanging="360"/>
      </w:pPr>
      <w:rPr>
        <w:rFonts w:ascii="Symbol" w:hAnsi="Symbol"/>
      </w:rPr>
    </w:lvl>
    <w:lvl w:ilvl="5" w:tplc="EA4A9D22">
      <w:start w:val="1"/>
      <w:numFmt w:val="bullet"/>
      <w:lvlText w:val=""/>
      <w:lvlJc w:val="left"/>
      <w:pPr>
        <w:ind w:left="1080" w:hanging="360"/>
      </w:pPr>
      <w:rPr>
        <w:rFonts w:ascii="Symbol" w:hAnsi="Symbol"/>
      </w:rPr>
    </w:lvl>
    <w:lvl w:ilvl="6" w:tplc="C76C16F8">
      <w:start w:val="1"/>
      <w:numFmt w:val="bullet"/>
      <w:lvlText w:val=""/>
      <w:lvlJc w:val="left"/>
      <w:pPr>
        <w:ind w:left="1080" w:hanging="360"/>
      </w:pPr>
      <w:rPr>
        <w:rFonts w:ascii="Symbol" w:hAnsi="Symbol"/>
      </w:rPr>
    </w:lvl>
    <w:lvl w:ilvl="7" w:tplc="9E92C15A">
      <w:start w:val="1"/>
      <w:numFmt w:val="bullet"/>
      <w:lvlText w:val=""/>
      <w:lvlJc w:val="left"/>
      <w:pPr>
        <w:ind w:left="1080" w:hanging="360"/>
      </w:pPr>
      <w:rPr>
        <w:rFonts w:ascii="Symbol" w:hAnsi="Symbol"/>
      </w:rPr>
    </w:lvl>
    <w:lvl w:ilvl="8" w:tplc="2640DEB2">
      <w:start w:val="1"/>
      <w:numFmt w:val="bullet"/>
      <w:lvlText w:val=""/>
      <w:lvlJc w:val="left"/>
      <w:pPr>
        <w:ind w:left="1080" w:hanging="360"/>
      </w:pPr>
      <w:rPr>
        <w:rFonts w:ascii="Symbol" w:hAnsi="Symbol"/>
      </w:rPr>
    </w:lvl>
  </w:abstractNum>
  <w:abstractNum w:abstractNumId="29" w15:restartNumberingAfterBreak="0">
    <w:nsid w:val="4E1A982C"/>
    <w:multiLevelType w:val="multilevel"/>
    <w:tmpl w:val="39BEA36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0" w15:restartNumberingAfterBreak="0">
    <w:nsid w:val="4E2D5F0F"/>
    <w:multiLevelType w:val="hybridMultilevel"/>
    <w:tmpl w:val="2D80E746"/>
    <w:lvl w:ilvl="0" w:tplc="EA52FAA0">
      <w:start w:val="1"/>
      <w:numFmt w:val="bullet"/>
      <w:lvlText w:val=""/>
      <w:lvlJc w:val="left"/>
      <w:pPr>
        <w:ind w:left="1080" w:hanging="360"/>
      </w:pPr>
      <w:rPr>
        <w:rFonts w:ascii="Symbol" w:hAnsi="Symbol"/>
      </w:rPr>
    </w:lvl>
    <w:lvl w:ilvl="1" w:tplc="63645AF8">
      <w:start w:val="1"/>
      <w:numFmt w:val="bullet"/>
      <w:lvlText w:val=""/>
      <w:lvlJc w:val="left"/>
      <w:pPr>
        <w:ind w:left="1080" w:hanging="360"/>
      </w:pPr>
      <w:rPr>
        <w:rFonts w:ascii="Symbol" w:hAnsi="Symbol"/>
      </w:rPr>
    </w:lvl>
    <w:lvl w:ilvl="2" w:tplc="3C004614">
      <w:start w:val="1"/>
      <w:numFmt w:val="bullet"/>
      <w:lvlText w:val=""/>
      <w:lvlJc w:val="left"/>
      <w:pPr>
        <w:ind w:left="1080" w:hanging="360"/>
      </w:pPr>
      <w:rPr>
        <w:rFonts w:ascii="Symbol" w:hAnsi="Symbol"/>
      </w:rPr>
    </w:lvl>
    <w:lvl w:ilvl="3" w:tplc="D5D26334">
      <w:start w:val="1"/>
      <w:numFmt w:val="bullet"/>
      <w:lvlText w:val=""/>
      <w:lvlJc w:val="left"/>
      <w:pPr>
        <w:ind w:left="1080" w:hanging="360"/>
      </w:pPr>
      <w:rPr>
        <w:rFonts w:ascii="Symbol" w:hAnsi="Symbol"/>
      </w:rPr>
    </w:lvl>
    <w:lvl w:ilvl="4" w:tplc="6172D63C">
      <w:start w:val="1"/>
      <w:numFmt w:val="bullet"/>
      <w:lvlText w:val=""/>
      <w:lvlJc w:val="left"/>
      <w:pPr>
        <w:ind w:left="1080" w:hanging="360"/>
      </w:pPr>
      <w:rPr>
        <w:rFonts w:ascii="Symbol" w:hAnsi="Symbol"/>
      </w:rPr>
    </w:lvl>
    <w:lvl w:ilvl="5" w:tplc="4890329E">
      <w:start w:val="1"/>
      <w:numFmt w:val="bullet"/>
      <w:lvlText w:val=""/>
      <w:lvlJc w:val="left"/>
      <w:pPr>
        <w:ind w:left="1080" w:hanging="360"/>
      </w:pPr>
      <w:rPr>
        <w:rFonts w:ascii="Symbol" w:hAnsi="Symbol"/>
      </w:rPr>
    </w:lvl>
    <w:lvl w:ilvl="6" w:tplc="1D0E2776">
      <w:start w:val="1"/>
      <w:numFmt w:val="bullet"/>
      <w:lvlText w:val=""/>
      <w:lvlJc w:val="left"/>
      <w:pPr>
        <w:ind w:left="1080" w:hanging="360"/>
      </w:pPr>
      <w:rPr>
        <w:rFonts w:ascii="Symbol" w:hAnsi="Symbol"/>
      </w:rPr>
    </w:lvl>
    <w:lvl w:ilvl="7" w:tplc="5C84B430">
      <w:start w:val="1"/>
      <w:numFmt w:val="bullet"/>
      <w:lvlText w:val=""/>
      <w:lvlJc w:val="left"/>
      <w:pPr>
        <w:ind w:left="1080" w:hanging="360"/>
      </w:pPr>
      <w:rPr>
        <w:rFonts w:ascii="Symbol" w:hAnsi="Symbol"/>
      </w:rPr>
    </w:lvl>
    <w:lvl w:ilvl="8" w:tplc="19A4FC50">
      <w:start w:val="1"/>
      <w:numFmt w:val="bullet"/>
      <w:lvlText w:val=""/>
      <w:lvlJc w:val="left"/>
      <w:pPr>
        <w:ind w:left="1080" w:hanging="360"/>
      </w:pPr>
      <w:rPr>
        <w:rFonts w:ascii="Symbol" w:hAnsi="Symbol"/>
      </w:rPr>
    </w:lvl>
  </w:abstractNum>
  <w:abstractNum w:abstractNumId="31" w15:restartNumberingAfterBreak="0">
    <w:nsid w:val="4E625D08"/>
    <w:multiLevelType w:val="multilevel"/>
    <w:tmpl w:val="9148F3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5072619B"/>
    <w:multiLevelType w:val="multilevel"/>
    <w:tmpl w:val="0DDE7082"/>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3" w15:restartNumberingAfterBreak="0">
    <w:nsid w:val="5FA92860"/>
    <w:multiLevelType w:val="hybridMultilevel"/>
    <w:tmpl w:val="52145C5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34" w15:restartNumberingAfterBreak="0">
    <w:nsid w:val="603A4AD5"/>
    <w:multiLevelType w:val="hybridMultilevel"/>
    <w:tmpl w:val="FEFEF016"/>
    <w:lvl w:ilvl="0" w:tplc="2496E3FE">
      <w:start w:val="1"/>
      <w:numFmt w:val="lowerRoman"/>
      <w:lvlText w:val="%1."/>
      <w:lvlJc w:val="right"/>
      <w:pPr>
        <w:ind w:left="1920" w:hanging="360"/>
      </w:pPr>
    </w:lvl>
    <w:lvl w:ilvl="1" w:tplc="191498FA">
      <w:start w:val="1"/>
      <w:numFmt w:val="lowerRoman"/>
      <w:lvlText w:val="%2."/>
      <w:lvlJc w:val="right"/>
      <w:pPr>
        <w:ind w:left="1920" w:hanging="360"/>
      </w:pPr>
    </w:lvl>
    <w:lvl w:ilvl="2" w:tplc="3098B5DC">
      <w:start w:val="1"/>
      <w:numFmt w:val="lowerRoman"/>
      <w:lvlText w:val="%3."/>
      <w:lvlJc w:val="right"/>
      <w:pPr>
        <w:ind w:left="1920" w:hanging="360"/>
      </w:pPr>
    </w:lvl>
    <w:lvl w:ilvl="3" w:tplc="6AF23260">
      <w:start w:val="1"/>
      <w:numFmt w:val="lowerRoman"/>
      <w:lvlText w:val="%4."/>
      <w:lvlJc w:val="right"/>
      <w:pPr>
        <w:ind w:left="1920" w:hanging="360"/>
      </w:pPr>
    </w:lvl>
    <w:lvl w:ilvl="4" w:tplc="11C89E16">
      <w:start w:val="1"/>
      <w:numFmt w:val="lowerRoman"/>
      <w:lvlText w:val="%5."/>
      <w:lvlJc w:val="right"/>
      <w:pPr>
        <w:ind w:left="1920" w:hanging="360"/>
      </w:pPr>
    </w:lvl>
    <w:lvl w:ilvl="5" w:tplc="3EDAC430">
      <w:start w:val="1"/>
      <w:numFmt w:val="lowerRoman"/>
      <w:lvlText w:val="%6."/>
      <w:lvlJc w:val="right"/>
      <w:pPr>
        <w:ind w:left="1920" w:hanging="360"/>
      </w:pPr>
    </w:lvl>
    <w:lvl w:ilvl="6" w:tplc="F9247D56">
      <w:start w:val="1"/>
      <w:numFmt w:val="lowerRoman"/>
      <w:lvlText w:val="%7."/>
      <w:lvlJc w:val="right"/>
      <w:pPr>
        <w:ind w:left="1920" w:hanging="360"/>
      </w:pPr>
    </w:lvl>
    <w:lvl w:ilvl="7" w:tplc="B2DA0B0E">
      <w:start w:val="1"/>
      <w:numFmt w:val="lowerRoman"/>
      <w:lvlText w:val="%8."/>
      <w:lvlJc w:val="right"/>
      <w:pPr>
        <w:ind w:left="1920" w:hanging="360"/>
      </w:pPr>
    </w:lvl>
    <w:lvl w:ilvl="8" w:tplc="63F8944A">
      <w:start w:val="1"/>
      <w:numFmt w:val="lowerRoman"/>
      <w:lvlText w:val="%9."/>
      <w:lvlJc w:val="right"/>
      <w:pPr>
        <w:ind w:left="1920" w:hanging="360"/>
      </w:pPr>
    </w:lvl>
  </w:abstractNum>
  <w:abstractNum w:abstractNumId="35" w15:restartNumberingAfterBreak="0">
    <w:nsid w:val="66284981"/>
    <w:multiLevelType w:val="hybridMultilevel"/>
    <w:tmpl w:val="56C415F6"/>
    <w:lvl w:ilvl="0" w:tplc="EAE85826">
      <w:start w:val="1"/>
      <w:numFmt w:val="lowerRoman"/>
      <w:lvlText w:val="%1."/>
      <w:lvlJc w:val="right"/>
      <w:pPr>
        <w:ind w:left="1920" w:hanging="360"/>
      </w:pPr>
    </w:lvl>
    <w:lvl w:ilvl="1" w:tplc="0186ACD6">
      <w:start w:val="1"/>
      <w:numFmt w:val="lowerRoman"/>
      <w:lvlText w:val="%2."/>
      <w:lvlJc w:val="right"/>
      <w:pPr>
        <w:ind w:left="1920" w:hanging="360"/>
      </w:pPr>
    </w:lvl>
    <w:lvl w:ilvl="2" w:tplc="008C4FE6">
      <w:start w:val="1"/>
      <w:numFmt w:val="lowerRoman"/>
      <w:lvlText w:val="%3."/>
      <w:lvlJc w:val="right"/>
      <w:pPr>
        <w:ind w:left="1920" w:hanging="360"/>
      </w:pPr>
    </w:lvl>
    <w:lvl w:ilvl="3" w:tplc="ABAEDA20">
      <w:start w:val="1"/>
      <w:numFmt w:val="lowerRoman"/>
      <w:lvlText w:val="%4."/>
      <w:lvlJc w:val="right"/>
      <w:pPr>
        <w:ind w:left="1920" w:hanging="360"/>
      </w:pPr>
    </w:lvl>
    <w:lvl w:ilvl="4" w:tplc="A6DA79F6">
      <w:start w:val="1"/>
      <w:numFmt w:val="lowerRoman"/>
      <w:lvlText w:val="%5."/>
      <w:lvlJc w:val="right"/>
      <w:pPr>
        <w:ind w:left="1920" w:hanging="360"/>
      </w:pPr>
    </w:lvl>
    <w:lvl w:ilvl="5" w:tplc="31FE2D92">
      <w:start w:val="1"/>
      <w:numFmt w:val="lowerRoman"/>
      <w:lvlText w:val="%6."/>
      <w:lvlJc w:val="right"/>
      <w:pPr>
        <w:ind w:left="1920" w:hanging="360"/>
      </w:pPr>
    </w:lvl>
    <w:lvl w:ilvl="6" w:tplc="BB94BE88">
      <w:start w:val="1"/>
      <w:numFmt w:val="lowerRoman"/>
      <w:lvlText w:val="%7."/>
      <w:lvlJc w:val="right"/>
      <w:pPr>
        <w:ind w:left="1920" w:hanging="360"/>
      </w:pPr>
    </w:lvl>
    <w:lvl w:ilvl="7" w:tplc="0576F5DC">
      <w:start w:val="1"/>
      <w:numFmt w:val="lowerRoman"/>
      <w:lvlText w:val="%8."/>
      <w:lvlJc w:val="right"/>
      <w:pPr>
        <w:ind w:left="1920" w:hanging="360"/>
      </w:pPr>
    </w:lvl>
    <w:lvl w:ilvl="8" w:tplc="8B9C4310">
      <w:start w:val="1"/>
      <w:numFmt w:val="lowerRoman"/>
      <w:lvlText w:val="%9."/>
      <w:lvlJc w:val="right"/>
      <w:pPr>
        <w:ind w:left="1920" w:hanging="360"/>
      </w:pPr>
    </w:lvl>
  </w:abstractNum>
  <w:abstractNum w:abstractNumId="36" w15:restartNumberingAfterBreak="0">
    <w:nsid w:val="6977472E"/>
    <w:multiLevelType w:val="multilevel"/>
    <w:tmpl w:val="DC4AC1DE"/>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7" w15:restartNumberingAfterBreak="0">
    <w:nsid w:val="712D19E7"/>
    <w:multiLevelType w:val="hybridMultilevel"/>
    <w:tmpl w:val="F1F60E2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8" w15:restartNumberingAfterBreak="0">
    <w:nsid w:val="7C65145E"/>
    <w:multiLevelType w:val="multilevel"/>
    <w:tmpl w:val="42C6333E"/>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9"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39"/>
  </w:num>
  <w:num w:numId="2">
    <w:abstractNumId w:val="18"/>
  </w:num>
  <w:num w:numId="3">
    <w:abstractNumId w:val="17"/>
  </w:num>
  <w:num w:numId="4">
    <w:abstractNumId w:val="38"/>
  </w:num>
  <w:num w:numId="5">
    <w:abstractNumId w:val="29"/>
  </w:num>
  <w:num w:numId="6">
    <w:abstractNumId w:val="24"/>
  </w:num>
  <w:num w:numId="7">
    <w:abstractNumId w:val="16"/>
  </w:num>
  <w:num w:numId="8">
    <w:abstractNumId w:val="6"/>
  </w:num>
  <w:num w:numId="9">
    <w:abstractNumId w:val="5"/>
  </w:num>
  <w:num w:numId="10">
    <w:abstractNumId w:val="4"/>
  </w:num>
  <w:num w:numId="11">
    <w:abstractNumId w:val="26"/>
  </w:num>
  <w:num w:numId="12">
    <w:abstractNumId w:val="10"/>
  </w:num>
  <w:num w:numId="13">
    <w:abstractNumId w:val="2"/>
  </w:num>
  <w:num w:numId="14">
    <w:abstractNumId w:val="36"/>
  </w:num>
  <w:num w:numId="15">
    <w:abstractNumId w:val="32"/>
  </w:num>
  <w:num w:numId="16">
    <w:abstractNumId w:val="22"/>
  </w:num>
  <w:num w:numId="17">
    <w:abstractNumId w:val="12"/>
  </w:num>
  <w:num w:numId="18">
    <w:abstractNumId w:val="21"/>
  </w:num>
  <w:num w:numId="19">
    <w:abstractNumId w:val="1"/>
  </w:num>
  <w:num w:numId="20">
    <w:abstractNumId w:val="20"/>
  </w:num>
  <w:num w:numId="21">
    <w:abstractNumId w:val="7"/>
  </w:num>
  <w:num w:numId="22">
    <w:abstractNumId w:val="23"/>
  </w:num>
  <w:num w:numId="23">
    <w:abstractNumId w:val="37"/>
  </w:num>
  <w:num w:numId="24">
    <w:abstractNumId w:val="31"/>
  </w:num>
  <w:num w:numId="25">
    <w:abstractNumId w:val="33"/>
  </w:num>
  <w:num w:numId="26">
    <w:abstractNumId w:val="30"/>
  </w:num>
  <w:num w:numId="27">
    <w:abstractNumId w:val="15"/>
  </w:num>
  <w:num w:numId="28">
    <w:abstractNumId w:val="0"/>
  </w:num>
  <w:num w:numId="29">
    <w:abstractNumId w:val="19"/>
  </w:num>
  <w:num w:numId="30">
    <w:abstractNumId w:val="3"/>
  </w:num>
  <w:num w:numId="31">
    <w:abstractNumId w:val="8"/>
  </w:num>
  <w:num w:numId="32">
    <w:abstractNumId w:val="13"/>
  </w:num>
  <w:num w:numId="33">
    <w:abstractNumId w:val="28"/>
  </w:num>
  <w:num w:numId="34">
    <w:abstractNumId w:val="14"/>
  </w:num>
  <w:num w:numId="35">
    <w:abstractNumId w:val="25"/>
  </w:num>
  <w:num w:numId="36">
    <w:abstractNumId w:val="35"/>
  </w:num>
  <w:num w:numId="37">
    <w:abstractNumId w:val="11"/>
  </w:num>
  <w:num w:numId="38">
    <w:abstractNumId w:val="34"/>
  </w:num>
  <w:num w:numId="39">
    <w:abstractNumId w:val="27"/>
  </w:num>
  <w:num w:numId="40">
    <w:abstractNumId w:val="9"/>
  </w:num>
  <w:num w:numId="4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Accompanying the document"/>
    <w:docVar w:name="LW_CORRIGENDUM" w:val="&lt;UNUSED&gt;"/>
    <w:docVar w:name="LW_COVERPAGE_EXISTS" w:val="True"/>
    <w:docVar w:name="LW_COVERPAGE_GUID" w:val="DC47A5FF-0515-4177-BB16-BEF2FAFCCFDB"/>
    <w:docVar w:name="LW_COVERPAGE_TYPE" w:val="1"/>
    <w:docVar w:name="LW_CROSSREFERENCE" w:val="{COM(2026) 900 final} - {SWD(2026) 901 final} - {SWD(2026) 902 final} - {SWD(2026) 903 final} - {SWD(2026) 904 final} - {SWD(2026) 905 final} - {SWD(2026) 906 final} - {SWD(2026) 907 final} - {SWD(2026) 908 final} - {SWD(2026) 909 final} - {SWD(2026) 910 final} - {SWD(2026) 911 final} - {SWD(2026) 912 final} - {SWD(2026) 913 final} - {SWD(2026) 914 final} - {SWD(2026) 915 final} - {SWD(2026) 916 final} - {SWD(2026) 917 final} - {SWD(2026) 919 final} - {SWD(2026) 920 final} - {SWD(2026) 921 final} - {SWD(2026) 922 final} - {SWD(2026) 923 final} - {SWD(2026) 924 final} - {SWD(2026) 925 final} - {SWD(2026) 926 final} - {SWD(2026) 927 final} - {SWD(2026) 928 final} - {SWD(2026) 929 final} - {SWD(2026) 930 final} - {SWD(2026) 931 final}"/>
    <w:docVar w:name="LW_DocType" w:val="EUROLOOK"/>
    <w:docVar w:name="LW_EMISSION" w:val="17.7.2026"/>
    <w:docVar w:name="LW_EMISSION_ISODATE" w:val="2026-07-17"/>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2026 Rule of Law Report _x000d__x000d__x000d__x000d__x000d__x000d__x000d__x000d__x000d__x000d__x000d__x000d__x000d__x000d__x000d__x000d__x000d__x000d__x000d__x000d__x000d__x000d__x000d__x000d__x000d__x000d__x000b_The rule of law situation in the European Union"/>
    <w:docVar w:name="LW_PART_NBR" w:val="1"/>
    <w:docVar w:name="LW_PART_NBR_TOTAL" w:val="1"/>
    <w:docVar w:name="LW_REF.INST.NEW" w:val="SWD"/>
    <w:docVar w:name="LW_REF.INST.NEW_ADOPTED" w:val="final"/>
    <w:docVar w:name="LW_REF.INST.NEW_TEXT" w:val="(2026) 91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2026 Rule of Law Report_x000d__x000d__x000d__x000d__x000d__x000d__x000d__x000d__x000d__x000d__x000d__x000d__x000d__x000d__x000d__x000d__x000d__x000d__x000d__x000d__x000d__x000d__x000d__x000d__x000d__x000d__x000b_Country Chapter on the rule of law situation in Malta"/>
    <w:docVar w:name="LW_TYPE.DOC.CP" w:val="COMMISSION STAFF WORKING DOCUMENT"/>
    <w:docVar w:name="LW_TYPEACTEPRINCIPAL.CP" w:val="Communication from the Commission to the European Parliament, the Council, the European Economic and Social Committee and the Committee of the Regions"/>
    <w:docVar w:name="LwApiVersions" w:val="LW4CoDe 1.24.5.0; LW 9.2, Build 20251112"/>
  </w:docVars>
  <w:rsids>
    <w:rsidRoot w:val="00B51782"/>
    <w:rsid w:val="0000556F"/>
    <w:rsid w:val="00005F35"/>
    <w:rsid w:val="00010C69"/>
    <w:rsid w:val="00011207"/>
    <w:rsid w:val="0001469A"/>
    <w:rsid w:val="00014FA1"/>
    <w:rsid w:val="000165F8"/>
    <w:rsid w:val="00017618"/>
    <w:rsid w:val="00021DAD"/>
    <w:rsid w:val="00021EE1"/>
    <w:rsid w:val="00022BEB"/>
    <w:rsid w:val="00022CFF"/>
    <w:rsid w:val="00023DAA"/>
    <w:rsid w:val="00025B57"/>
    <w:rsid w:val="00027184"/>
    <w:rsid w:val="000272A7"/>
    <w:rsid w:val="00031BCE"/>
    <w:rsid w:val="00033656"/>
    <w:rsid w:val="00033B84"/>
    <w:rsid w:val="000343C5"/>
    <w:rsid w:val="000352D6"/>
    <w:rsid w:val="00035608"/>
    <w:rsid w:val="00036592"/>
    <w:rsid w:val="00036C08"/>
    <w:rsid w:val="0003736E"/>
    <w:rsid w:val="000376BD"/>
    <w:rsid w:val="0004024D"/>
    <w:rsid w:val="000422DA"/>
    <w:rsid w:val="00042588"/>
    <w:rsid w:val="00045898"/>
    <w:rsid w:val="0005082E"/>
    <w:rsid w:val="000550E3"/>
    <w:rsid w:val="00056381"/>
    <w:rsid w:val="00062B4A"/>
    <w:rsid w:val="000640C3"/>
    <w:rsid w:val="0007026D"/>
    <w:rsid w:val="00070329"/>
    <w:rsid w:val="00073D43"/>
    <w:rsid w:val="0007501F"/>
    <w:rsid w:val="00080ADA"/>
    <w:rsid w:val="00081709"/>
    <w:rsid w:val="00081AE1"/>
    <w:rsid w:val="000828BA"/>
    <w:rsid w:val="000830E3"/>
    <w:rsid w:val="000834D7"/>
    <w:rsid w:val="00084EBD"/>
    <w:rsid w:val="00085966"/>
    <w:rsid w:val="000867F6"/>
    <w:rsid w:val="000874D7"/>
    <w:rsid w:val="000875DA"/>
    <w:rsid w:val="00097E4A"/>
    <w:rsid w:val="000A0CED"/>
    <w:rsid w:val="000A0F2F"/>
    <w:rsid w:val="000A28A1"/>
    <w:rsid w:val="000A7117"/>
    <w:rsid w:val="000A7FBC"/>
    <w:rsid w:val="000B11B1"/>
    <w:rsid w:val="000B2F79"/>
    <w:rsid w:val="000B30FB"/>
    <w:rsid w:val="000B544F"/>
    <w:rsid w:val="000B6D8F"/>
    <w:rsid w:val="000C1D46"/>
    <w:rsid w:val="000C2466"/>
    <w:rsid w:val="000C2E08"/>
    <w:rsid w:val="000C300A"/>
    <w:rsid w:val="000C547B"/>
    <w:rsid w:val="000C595C"/>
    <w:rsid w:val="000C5963"/>
    <w:rsid w:val="000C624C"/>
    <w:rsid w:val="000D04C4"/>
    <w:rsid w:val="000D130A"/>
    <w:rsid w:val="000D31FA"/>
    <w:rsid w:val="000D3F33"/>
    <w:rsid w:val="000D6D11"/>
    <w:rsid w:val="000E07FF"/>
    <w:rsid w:val="000E1C3E"/>
    <w:rsid w:val="000E4C78"/>
    <w:rsid w:val="000F040A"/>
    <w:rsid w:val="000F096A"/>
    <w:rsid w:val="000F1215"/>
    <w:rsid w:val="000F5160"/>
    <w:rsid w:val="00100A5C"/>
    <w:rsid w:val="00101251"/>
    <w:rsid w:val="0010204E"/>
    <w:rsid w:val="00102058"/>
    <w:rsid w:val="00103684"/>
    <w:rsid w:val="001051E8"/>
    <w:rsid w:val="0010717B"/>
    <w:rsid w:val="001073A9"/>
    <w:rsid w:val="00110091"/>
    <w:rsid w:val="00114B85"/>
    <w:rsid w:val="00115114"/>
    <w:rsid w:val="00115865"/>
    <w:rsid w:val="00115F7F"/>
    <w:rsid w:val="0012270E"/>
    <w:rsid w:val="00123460"/>
    <w:rsid w:val="0012606C"/>
    <w:rsid w:val="00126602"/>
    <w:rsid w:val="001314B2"/>
    <w:rsid w:val="001322EC"/>
    <w:rsid w:val="001331B1"/>
    <w:rsid w:val="001341A6"/>
    <w:rsid w:val="00135962"/>
    <w:rsid w:val="00137D0D"/>
    <w:rsid w:val="00140682"/>
    <w:rsid w:val="001409E9"/>
    <w:rsid w:val="001418DB"/>
    <w:rsid w:val="00142AD4"/>
    <w:rsid w:val="001437A6"/>
    <w:rsid w:val="00143A78"/>
    <w:rsid w:val="00143ACC"/>
    <w:rsid w:val="0014427E"/>
    <w:rsid w:val="001459E0"/>
    <w:rsid w:val="00146457"/>
    <w:rsid w:val="00147F84"/>
    <w:rsid w:val="00150459"/>
    <w:rsid w:val="00150707"/>
    <w:rsid w:val="00151666"/>
    <w:rsid w:val="001525C3"/>
    <w:rsid w:val="00152E38"/>
    <w:rsid w:val="00154401"/>
    <w:rsid w:val="00154A40"/>
    <w:rsid w:val="00154EB8"/>
    <w:rsid w:val="00155686"/>
    <w:rsid w:val="001600E5"/>
    <w:rsid w:val="0016361D"/>
    <w:rsid w:val="00164949"/>
    <w:rsid w:val="00164F1D"/>
    <w:rsid w:val="00170C28"/>
    <w:rsid w:val="00172BAF"/>
    <w:rsid w:val="00176012"/>
    <w:rsid w:val="001805D6"/>
    <w:rsid w:val="00180C84"/>
    <w:rsid w:val="00181772"/>
    <w:rsid w:val="00182465"/>
    <w:rsid w:val="00182873"/>
    <w:rsid w:val="001842DE"/>
    <w:rsid w:val="00184678"/>
    <w:rsid w:val="00187124"/>
    <w:rsid w:val="001913DE"/>
    <w:rsid w:val="00196310"/>
    <w:rsid w:val="00196425"/>
    <w:rsid w:val="001A0786"/>
    <w:rsid w:val="001A21D6"/>
    <w:rsid w:val="001A2885"/>
    <w:rsid w:val="001A3561"/>
    <w:rsid w:val="001A38E5"/>
    <w:rsid w:val="001A404C"/>
    <w:rsid w:val="001A531C"/>
    <w:rsid w:val="001B0A35"/>
    <w:rsid w:val="001B1C27"/>
    <w:rsid w:val="001B3D6C"/>
    <w:rsid w:val="001C04FF"/>
    <w:rsid w:val="001C0D30"/>
    <w:rsid w:val="001C1689"/>
    <w:rsid w:val="001C2FA3"/>
    <w:rsid w:val="001C44C6"/>
    <w:rsid w:val="001C4927"/>
    <w:rsid w:val="001D54D8"/>
    <w:rsid w:val="001E0C34"/>
    <w:rsid w:val="001E0ECE"/>
    <w:rsid w:val="001E4371"/>
    <w:rsid w:val="001E744D"/>
    <w:rsid w:val="001F2C44"/>
    <w:rsid w:val="00212828"/>
    <w:rsid w:val="002141AE"/>
    <w:rsid w:val="00214624"/>
    <w:rsid w:val="00214B7D"/>
    <w:rsid w:val="00216265"/>
    <w:rsid w:val="002165D0"/>
    <w:rsid w:val="00217934"/>
    <w:rsid w:val="00220263"/>
    <w:rsid w:val="0022236A"/>
    <w:rsid w:val="00224A71"/>
    <w:rsid w:val="002272BC"/>
    <w:rsid w:val="002307A6"/>
    <w:rsid w:val="00230B73"/>
    <w:rsid w:val="00231427"/>
    <w:rsid w:val="00231D7E"/>
    <w:rsid w:val="00233602"/>
    <w:rsid w:val="00234545"/>
    <w:rsid w:val="00236995"/>
    <w:rsid w:val="00240A4D"/>
    <w:rsid w:val="0024147E"/>
    <w:rsid w:val="00243046"/>
    <w:rsid w:val="00244319"/>
    <w:rsid w:val="002446C7"/>
    <w:rsid w:val="00244B9E"/>
    <w:rsid w:val="00245F9F"/>
    <w:rsid w:val="00246D17"/>
    <w:rsid w:val="00247898"/>
    <w:rsid w:val="002505B7"/>
    <w:rsid w:val="00254BFA"/>
    <w:rsid w:val="00256970"/>
    <w:rsid w:val="00257D81"/>
    <w:rsid w:val="002606B9"/>
    <w:rsid w:val="00273FC5"/>
    <w:rsid w:val="00274304"/>
    <w:rsid w:val="00275AFA"/>
    <w:rsid w:val="00280365"/>
    <w:rsid w:val="0028047B"/>
    <w:rsid w:val="00283FF0"/>
    <w:rsid w:val="002859F3"/>
    <w:rsid w:val="002861DC"/>
    <w:rsid w:val="00292AED"/>
    <w:rsid w:val="00293E0E"/>
    <w:rsid w:val="00295BBA"/>
    <w:rsid w:val="00296DF0"/>
    <w:rsid w:val="002970B8"/>
    <w:rsid w:val="0029754A"/>
    <w:rsid w:val="00297E7C"/>
    <w:rsid w:val="002A4132"/>
    <w:rsid w:val="002A418C"/>
    <w:rsid w:val="002A72B7"/>
    <w:rsid w:val="002B1686"/>
    <w:rsid w:val="002B1EB1"/>
    <w:rsid w:val="002B2CDF"/>
    <w:rsid w:val="002B3C91"/>
    <w:rsid w:val="002B607E"/>
    <w:rsid w:val="002C00BF"/>
    <w:rsid w:val="002C24A1"/>
    <w:rsid w:val="002C7566"/>
    <w:rsid w:val="002D2390"/>
    <w:rsid w:val="002D284D"/>
    <w:rsid w:val="002D383D"/>
    <w:rsid w:val="002D3C6A"/>
    <w:rsid w:val="002E02E9"/>
    <w:rsid w:val="002E463B"/>
    <w:rsid w:val="002E53D0"/>
    <w:rsid w:val="002E5812"/>
    <w:rsid w:val="002F4594"/>
    <w:rsid w:val="002F463A"/>
    <w:rsid w:val="002F47D0"/>
    <w:rsid w:val="002F4AB4"/>
    <w:rsid w:val="002F67B6"/>
    <w:rsid w:val="002F7B53"/>
    <w:rsid w:val="00300EDC"/>
    <w:rsid w:val="003036A0"/>
    <w:rsid w:val="00303B55"/>
    <w:rsid w:val="00303B81"/>
    <w:rsid w:val="0030784B"/>
    <w:rsid w:val="00307E49"/>
    <w:rsid w:val="00312A3A"/>
    <w:rsid w:val="00312C4E"/>
    <w:rsid w:val="003163BE"/>
    <w:rsid w:val="0031659B"/>
    <w:rsid w:val="00316982"/>
    <w:rsid w:val="00317071"/>
    <w:rsid w:val="003173E3"/>
    <w:rsid w:val="0032057C"/>
    <w:rsid w:val="00320DBE"/>
    <w:rsid w:val="00322213"/>
    <w:rsid w:val="003225E4"/>
    <w:rsid w:val="00322D67"/>
    <w:rsid w:val="00324E55"/>
    <w:rsid w:val="00326C1D"/>
    <w:rsid w:val="00327EE4"/>
    <w:rsid w:val="00330407"/>
    <w:rsid w:val="00333936"/>
    <w:rsid w:val="00333B2D"/>
    <w:rsid w:val="00333B6B"/>
    <w:rsid w:val="00335D0D"/>
    <w:rsid w:val="00343553"/>
    <w:rsid w:val="003461A9"/>
    <w:rsid w:val="00347484"/>
    <w:rsid w:val="003477DC"/>
    <w:rsid w:val="003519B6"/>
    <w:rsid w:val="00352C6F"/>
    <w:rsid w:val="0035411C"/>
    <w:rsid w:val="003549D5"/>
    <w:rsid w:val="00362E70"/>
    <w:rsid w:val="00364234"/>
    <w:rsid w:val="00365304"/>
    <w:rsid w:val="00366226"/>
    <w:rsid w:val="00367584"/>
    <w:rsid w:val="00376727"/>
    <w:rsid w:val="00377627"/>
    <w:rsid w:val="00377948"/>
    <w:rsid w:val="00381D4C"/>
    <w:rsid w:val="00384835"/>
    <w:rsid w:val="00384971"/>
    <w:rsid w:val="00385740"/>
    <w:rsid w:val="00385D34"/>
    <w:rsid w:val="00385E5A"/>
    <w:rsid w:val="003877AE"/>
    <w:rsid w:val="003918B1"/>
    <w:rsid w:val="003920A3"/>
    <w:rsid w:val="00393881"/>
    <w:rsid w:val="00393F64"/>
    <w:rsid w:val="00394D5D"/>
    <w:rsid w:val="003A190D"/>
    <w:rsid w:val="003A255F"/>
    <w:rsid w:val="003A30B3"/>
    <w:rsid w:val="003A4968"/>
    <w:rsid w:val="003A5584"/>
    <w:rsid w:val="003A5FBD"/>
    <w:rsid w:val="003A7D3B"/>
    <w:rsid w:val="003B0E30"/>
    <w:rsid w:val="003B5E18"/>
    <w:rsid w:val="003C2A1B"/>
    <w:rsid w:val="003C33D9"/>
    <w:rsid w:val="003C68CE"/>
    <w:rsid w:val="003C6BC5"/>
    <w:rsid w:val="003C6D60"/>
    <w:rsid w:val="003C748E"/>
    <w:rsid w:val="003D0854"/>
    <w:rsid w:val="003D3A19"/>
    <w:rsid w:val="003D4510"/>
    <w:rsid w:val="003D45E4"/>
    <w:rsid w:val="003D52F4"/>
    <w:rsid w:val="003E2A04"/>
    <w:rsid w:val="003E3A6F"/>
    <w:rsid w:val="003E5053"/>
    <w:rsid w:val="003E5185"/>
    <w:rsid w:val="003E6C75"/>
    <w:rsid w:val="003E749A"/>
    <w:rsid w:val="003E7E1D"/>
    <w:rsid w:val="003F0938"/>
    <w:rsid w:val="003F0CF9"/>
    <w:rsid w:val="003F0E99"/>
    <w:rsid w:val="003F0EE8"/>
    <w:rsid w:val="003F1CE6"/>
    <w:rsid w:val="003F32C9"/>
    <w:rsid w:val="003F5554"/>
    <w:rsid w:val="003F6C46"/>
    <w:rsid w:val="003F73DA"/>
    <w:rsid w:val="00401F21"/>
    <w:rsid w:val="004040CF"/>
    <w:rsid w:val="004040D4"/>
    <w:rsid w:val="00406FCD"/>
    <w:rsid w:val="0040760B"/>
    <w:rsid w:val="0040793C"/>
    <w:rsid w:val="00414642"/>
    <w:rsid w:val="0041609A"/>
    <w:rsid w:val="00417916"/>
    <w:rsid w:val="004203F8"/>
    <w:rsid w:val="004204D4"/>
    <w:rsid w:val="0042296F"/>
    <w:rsid w:val="00422A89"/>
    <w:rsid w:val="00423788"/>
    <w:rsid w:val="00423978"/>
    <w:rsid w:val="00426D4D"/>
    <w:rsid w:val="0043019F"/>
    <w:rsid w:val="00431094"/>
    <w:rsid w:val="00432FC4"/>
    <w:rsid w:val="004351CD"/>
    <w:rsid w:val="00441F66"/>
    <w:rsid w:val="00442A8E"/>
    <w:rsid w:val="00442CEF"/>
    <w:rsid w:val="00445D18"/>
    <w:rsid w:val="004460D6"/>
    <w:rsid w:val="00450B1E"/>
    <w:rsid w:val="00454B21"/>
    <w:rsid w:val="00460E89"/>
    <w:rsid w:val="00462D04"/>
    <w:rsid w:val="00464282"/>
    <w:rsid w:val="00464369"/>
    <w:rsid w:val="0046683B"/>
    <w:rsid w:val="004706D3"/>
    <w:rsid w:val="00470A4A"/>
    <w:rsid w:val="00470E33"/>
    <w:rsid w:val="00471EE0"/>
    <w:rsid w:val="00472A6E"/>
    <w:rsid w:val="004752E1"/>
    <w:rsid w:val="00481A77"/>
    <w:rsid w:val="00482FFE"/>
    <w:rsid w:val="004841C3"/>
    <w:rsid w:val="0048557B"/>
    <w:rsid w:val="0048613E"/>
    <w:rsid w:val="00486598"/>
    <w:rsid w:val="00491716"/>
    <w:rsid w:val="00493BBE"/>
    <w:rsid w:val="00495113"/>
    <w:rsid w:val="00497EA1"/>
    <w:rsid w:val="004A094A"/>
    <w:rsid w:val="004A124A"/>
    <w:rsid w:val="004A1754"/>
    <w:rsid w:val="004A4C34"/>
    <w:rsid w:val="004A6596"/>
    <w:rsid w:val="004B0111"/>
    <w:rsid w:val="004B32A1"/>
    <w:rsid w:val="004B35C3"/>
    <w:rsid w:val="004B365A"/>
    <w:rsid w:val="004B3E7F"/>
    <w:rsid w:val="004B4C59"/>
    <w:rsid w:val="004B7BCF"/>
    <w:rsid w:val="004C0A6B"/>
    <w:rsid w:val="004C51B7"/>
    <w:rsid w:val="004D3196"/>
    <w:rsid w:val="004D6DD0"/>
    <w:rsid w:val="004E0395"/>
    <w:rsid w:val="004E0655"/>
    <w:rsid w:val="004E3577"/>
    <w:rsid w:val="004E51A6"/>
    <w:rsid w:val="004E559D"/>
    <w:rsid w:val="004E5CF5"/>
    <w:rsid w:val="004E7F3A"/>
    <w:rsid w:val="004F1662"/>
    <w:rsid w:val="004F2116"/>
    <w:rsid w:val="004F33BF"/>
    <w:rsid w:val="004F3EFC"/>
    <w:rsid w:val="004F418B"/>
    <w:rsid w:val="004F4AEC"/>
    <w:rsid w:val="004F51D0"/>
    <w:rsid w:val="00504968"/>
    <w:rsid w:val="005065FA"/>
    <w:rsid w:val="00507C9A"/>
    <w:rsid w:val="00513CBF"/>
    <w:rsid w:val="005157B9"/>
    <w:rsid w:val="00517E7C"/>
    <w:rsid w:val="00523934"/>
    <w:rsid w:val="00525C88"/>
    <w:rsid w:val="00530332"/>
    <w:rsid w:val="0053114F"/>
    <w:rsid w:val="0053543C"/>
    <w:rsid w:val="00535D66"/>
    <w:rsid w:val="00540636"/>
    <w:rsid w:val="00542CE4"/>
    <w:rsid w:val="0054364A"/>
    <w:rsid w:val="00546444"/>
    <w:rsid w:val="00552424"/>
    <w:rsid w:val="00552A78"/>
    <w:rsid w:val="00552C6A"/>
    <w:rsid w:val="00553347"/>
    <w:rsid w:val="00555B8E"/>
    <w:rsid w:val="00556E94"/>
    <w:rsid w:val="00557A12"/>
    <w:rsid w:val="00560301"/>
    <w:rsid w:val="005624E7"/>
    <w:rsid w:val="00562E10"/>
    <w:rsid w:val="0056306C"/>
    <w:rsid w:val="00566356"/>
    <w:rsid w:val="005667FE"/>
    <w:rsid w:val="00570AB1"/>
    <w:rsid w:val="00572217"/>
    <w:rsid w:val="005816B7"/>
    <w:rsid w:val="005841EB"/>
    <w:rsid w:val="0058586B"/>
    <w:rsid w:val="00585C98"/>
    <w:rsid w:val="0059035D"/>
    <w:rsid w:val="005934D3"/>
    <w:rsid w:val="00593A71"/>
    <w:rsid w:val="00593D43"/>
    <w:rsid w:val="00597270"/>
    <w:rsid w:val="005A0654"/>
    <w:rsid w:val="005A1C34"/>
    <w:rsid w:val="005A259C"/>
    <w:rsid w:val="005A3165"/>
    <w:rsid w:val="005A39A2"/>
    <w:rsid w:val="005A43FA"/>
    <w:rsid w:val="005A507B"/>
    <w:rsid w:val="005A56F9"/>
    <w:rsid w:val="005A5A25"/>
    <w:rsid w:val="005A5A26"/>
    <w:rsid w:val="005A60F5"/>
    <w:rsid w:val="005B3C36"/>
    <w:rsid w:val="005B4BF4"/>
    <w:rsid w:val="005B59A0"/>
    <w:rsid w:val="005B7D54"/>
    <w:rsid w:val="005C0959"/>
    <w:rsid w:val="005C29B0"/>
    <w:rsid w:val="005C4077"/>
    <w:rsid w:val="005C6128"/>
    <w:rsid w:val="005C6347"/>
    <w:rsid w:val="005C7921"/>
    <w:rsid w:val="005C7A07"/>
    <w:rsid w:val="005D1B99"/>
    <w:rsid w:val="005D2C27"/>
    <w:rsid w:val="005D2E67"/>
    <w:rsid w:val="005D47A8"/>
    <w:rsid w:val="005D795D"/>
    <w:rsid w:val="005E1599"/>
    <w:rsid w:val="005E225F"/>
    <w:rsid w:val="005E3C4A"/>
    <w:rsid w:val="005E505E"/>
    <w:rsid w:val="005E7AC0"/>
    <w:rsid w:val="005E7C1B"/>
    <w:rsid w:val="005E7DD8"/>
    <w:rsid w:val="005E7EAA"/>
    <w:rsid w:val="005F0AB4"/>
    <w:rsid w:val="005F21E1"/>
    <w:rsid w:val="005F297E"/>
    <w:rsid w:val="005F4A0E"/>
    <w:rsid w:val="005F7D92"/>
    <w:rsid w:val="00602368"/>
    <w:rsid w:val="00604330"/>
    <w:rsid w:val="00604B9A"/>
    <w:rsid w:val="006117F5"/>
    <w:rsid w:val="0061185A"/>
    <w:rsid w:val="00613900"/>
    <w:rsid w:val="00614D0E"/>
    <w:rsid w:val="006155DF"/>
    <w:rsid w:val="00617CFE"/>
    <w:rsid w:val="00620011"/>
    <w:rsid w:val="00620C1A"/>
    <w:rsid w:val="00621248"/>
    <w:rsid w:val="00622D30"/>
    <w:rsid w:val="00623D79"/>
    <w:rsid w:val="006242EA"/>
    <w:rsid w:val="006252DA"/>
    <w:rsid w:val="006257E3"/>
    <w:rsid w:val="00626616"/>
    <w:rsid w:val="00626A83"/>
    <w:rsid w:val="0063692F"/>
    <w:rsid w:val="0063705A"/>
    <w:rsid w:val="00640A53"/>
    <w:rsid w:val="006414D4"/>
    <w:rsid w:val="00642597"/>
    <w:rsid w:val="00642C43"/>
    <w:rsid w:val="00644590"/>
    <w:rsid w:val="00647338"/>
    <w:rsid w:val="006558EC"/>
    <w:rsid w:val="00660756"/>
    <w:rsid w:val="00665709"/>
    <w:rsid w:val="00665CEB"/>
    <w:rsid w:val="0066740B"/>
    <w:rsid w:val="0067025A"/>
    <w:rsid w:val="00670865"/>
    <w:rsid w:val="00671A99"/>
    <w:rsid w:val="00671F6A"/>
    <w:rsid w:val="006739DD"/>
    <w:rsid w:val="0067577C"/>
    <w:rsid w:val="0067771C"/>
    <w:rsid w:val="00680173"/>
    <w:rsid w:val="00681DB9"/>
    <w:rsid w:val="006822E5"/>
    <w:rsid w:val="006867B0"/>
    <w:rsid w:val="0069194A"/>
    <w:rsid w:val="00691CA8"/>
    <w:rsid w:val="006945B4"/>
    <w:rsid w:val="006977EC"/>
    <w:rsid w:val="006A297B"/>
    <w:rsid w:val="006A3E6E"/>
    <w:rsid w:val="006A4948"/>
    <w:rsid w:val="006A51A1"/>
    <w:rsid w:val="006B0C72"/>
    <w:rsid w:val="006B2655"/>
    <w:rsid w:val="006B5AC5"/>
    <w:rsid w:val="006B7A17"/>
    <w:rsid w:val="006C1DF7"/>
    <w:rsid w:val="006C4ED6"/>
    <w:rsid w:val="006C7A48"/>
    <w:rsid w:val="006D0138"/>
    <w:rsid w:val="006D329E"/>
    <w:rsid w:val="006E10C9"/>
    <w:rsid w:val="006E19C9"/>
    <w:rsid w:val="006E22E2"/>
    <w:rsid w:val="006E46EE"/>
    <w:rsid w:val="006E77CC"/>
    <w:rsid w:val="006E7819"/>
    <w:rsid w:val="006F3817"/>
    <w:rsid w:val="006F4CB7"/>
    <w:rsid w:val="006F733C"/>
    <w:rsid w:val="006F7FFA"/>
    <w:rsid w:val="00702355"/>
    <w:rsid w:val="00702430"/>
    <w:rsid w:val="00704EF4"/>
    <w:rsid w:val="00705787"/>
    <w:rsid w:val="00706522"/>
    <w:rsid w:val="0070692A"/>
    <w:rsid w:val="007169A9"/>
    <w:rsid w:val="00716DF9"/>
    <w:rsid w:val="0071761B"/>
    <w:rsid w:val="007201CF"/>
    <w:rsid w:val="00722018"/>
    <w:rsid w:val="007231D4"/>
    <w:rsid w:val="007239B7"/>
    <w:rsid w:val="00723CF6"/>
    <w:rsid w:val="00727D29"/>
    <w:rsid w:val="0073301C"/>
    <w:rsid w:val="00737A40"/>
    <w:rsid w:val="00740712"/>
    <w:rsid w:val="00740773"/>
    <w:rsid w:val="007419C2"/>
    <w:rsid w:val="00743599"/>
    <w:rsid w:val="00743BE7"/>
    <w:rsid w:val="00745692"/>
    <w:rsid w:val="00746DCC"/>
    <w:rsid w:val="00747A2A"/>
    <w:rsid w:val="00750FB7"/>
    <w:rsid w:val="00753F80"/>
    <w:rsid w:val="00757D9A"/>
    <w:rsid w:val="007613C7"/>
    <w:rsid w:val="00762B31"/>
    <w:rsid w:val="007748C0"/>
    <w:rsid w:val="0077491D"/>
    <w:rsid w:val="00774A95"/>
    <w:rsid w:val="00775188"/>
    <w:rsid w:val="00783E31"/>
    <w:rsid w:val="00786EEB"/>
    <w:rsid w:val="007915A0"/>
    <w:rsid w:val="00791A14"/>
    <w:rsid w:val="00792541"/>
    <w:rsid w:val="00792D8E"/>
    <w:rsid w:val="007A33C4"/>
    <w:rsid w:val="007A44B7"/>
    <w:rsid w:val="007A564B"/>
    <w:rsid w:val="007A5833"/>
    <w:rsid w:val="007A766A"/>
    <w:rsid w:val="007B12CC"/>
    <w:rsid w:val="007B1DB7"/>
    <w:rsid w:val="007B2460"/>
    <w:rsid w:val="007B2B18"/>
    <w:rsid w:val="007B2FE1"/>
    <w:rsid w:val="007B5509"/>
    <w:rsid w:val="007C4567"/>
    <w:rsid w:val="007C5A7B"/>
    <w:rsid w:val="007C74B6"/>
    <w:rsid w:val="007D06E8"/>
    <w:rsid w:val="007D136F"/>
    <w:rsid w:val="007D324F"/>
    <w:rsid w:val="007D3899"/>
    <w:rsid w:val="007D446F"/>
    <w:rsid w:val="007D5AB4"/>
    <w:rsid w:val="007E165C"/>
    <w:rsid w:val="007E1B6D"/>
    <w:rsid w:val="007E2649"/>
    <w:rsid w:val="007E33A8"/>
    <w:rsid w:val="007E4658"/>
    <w:rsid w:val="007E50B6"/>
    <w:rsid w:val="007F094A"/>
    <w:rsid w:val="007F1112"/>
    <w:rsid w:val="007F1254"/>
    <w:rsid w:val="007F1561"/>
    <w:rsid w:val="007F2E2C"/>
    <w:rsid w:val="007F4122"/>
    <w:rsid w:val="007F44CE"/>
    <w:rsid w:val="0080005C"/>
    <w:rsid w:val="00802970"/>
    <w:rsid w:val="00803A26"/>
    <w:rsid w:val="008042E6"/>
    <w:rsid w:val="0080478C"/>
    <w:rsid w:val="00805AC3"/>
    <w:rsid w:val="0080605B"/>
    <w:rsid w:val="008103BE"/>
    <w:rsid w:val="0081060F"/>
    <w:rsid w:val="008117E1"/>
    <w:rsid w:val="0081262F"/>
    <w:rsid w:val="008130FF"/>
    <w:rsid w:val="00820183"/>
    <w:rsid w:val="00822C81"/>
    <w:rsid w:val="00823A99"/>
    <w:rsid w:val="008246ED"/>
    <w:rsid w:val="00824EA5"/>
    <w:rsid w:val="00826CD2"/>
    <w:rsid w:val="00827556"/>
    <w:rsid w:val="00830756"/>
    <w:rsid w:val="0083416B"/>
    <w:rsid w:val="00834319"/>
    <w:rsid w:val="00834538"/>
    <w:rsid w:val="00836B1B"/>
    <w:rsid w:val="00836B35"/>
    <w:rsid w:val="008379B2"/>
    <w:rsid w:val="00842F80"/>
    <w:rsid w:val="00843FC2"/>
    <w:rsid w:val="00844380"/>
    <w:rsid w:val="0084519E"/>
    <w:rsid w:val="00851603"/>
    <w:rsid w:val="00852625"/>
    <w:rsid w:val="008547EC"/>
    <w:rsid w:val="008549A4"/>
    <w:rsid w:val="00855484"/>
    <w:rsid w:val="00857F74"/>
    <w:rsid w:val="00862404"/>
    <w:rsid w:val="0086245E"/>
    <w:rsid w:val="00862779"/>
    <w:rsid w:val="008635AD"/>
    <w:rsid w:val="008643A8"/>
    <w:rsid w:val="008646B9"/>
    <w:rsid w:val="00864832"/>
    <w:rsid w:val="008678A4"/>
    <w:rsid w:val="00877A4C"/>
    <w:rsid w:val="00880837"/>
    <w:rsid w:val="00881DF6"/>
    <w:rsid w:val="00882A0A"/>
    <w:rsid w:val="00884784"/>
    <w:rsid w:val="0088598F"/>
    <w:rsid w:val="00887279"/>
    <w:rsid w:val="008A010A"/>
    <w:rsid w:val="008A0260"/>
    <w:rsid w:val="008A0BCB"/>
    <w:rsid w:val="008A1E31"/>
    <w:rsid w:val="008A4778"/>
    <w:rsid w:val="008A47F6"/>
    <w:rsid w:val="008A4FA7"/>
    <w:rsid w:val="008A55DC"/>
    <w:rsid w:val="008B1382"/>
    <w:rsid w:val="008B138A"/>
    <w:rsid w:val="008B1ED4"/>
    <w:rsid w:val="008B4127"/>
    <w:rsid w:val="008B51D6"/>
    <w:rsid w:val="008B6A75"/>
    <w:rsid w:val="008C08CC"/>
    <w:rsid w:val="008C2AFB"/>
    <w:rsid w:val="008C3248"/>
    <w:rsid w:val="008C57C5"/>
    <w:rsid w:val="008C5CA0"/>
    <w:rsid w:val="008C6310"/>
    <w:rsid w:val="008C65E1"/>
    <w:rsid w:val="008C74C3"/>
    <w:rsid w:val="008D13E3"/>
    <w:rsid w:val="008D2774"/>
    <w:rsid w:val="008D337B"/>
    <w:rsid w:val="008D72C2"/>
    <w:rsid w:val="008E00C9"/>
    <w:rsid w:val="008E02C3"/>
    <w:rsid w:val="008E1009"/>
    <w:rsid w:val="008E1EB5"/>
    <w:rsid w:val="008E425F"/>
    <w:rsid w:val="008E5136"/>
    <w:rsid w:val="008E661F"/>
    <w:rsid w:val="008E7A31"/>
    <w:rsid w:val="008F1C73"/>
    <w:rsid w:val="008F26C6"/>
    <w:rsid w:val="008F30BD"/>
    <w:rsid w:val="008F6292"/>
    <w:rsid w:val="009003AA"/>
    <w:rsid w:val="00900FE7"/>
    <w:rsid w:val="009028BE"/>
    <w:rsid w:val="00902AAA"/>
    <w:rsid w:val="00903886"/>
    <w:rsid w:val="009059BC"/>
    <w:rsid w:val="00911EC1"/>
    <w:rsid w:val="00913F48"/>
    <w:rsid w:val="009206B2"/>
    <w:rsid w:val="00927C1A"/>
    <w:rsid w:val="00931665"/>
    <w:rsid w:val="00933D73"/>
    <w:rsid w:val="00934636"/>
    <w:rsid w:val="00934AB3"/>
    <w:rsid w:val="009376B6"/>
    <w:rsid w:val="00941068"/>
    <w:rsid w:val="00941D9E"/>
    <w:rsid w:val="009442AE"/>
    <w:rsid w:val="009454F8"/>
    <w:rsid w:val="00951F8A"/>
    <w:rsid w:val="00952554"/>
    <w:rsid w:val="00955C60"/>
    <w:rsid w:val="0095636D"/>
    <w:rsid w:val="009575FA"/>
    <w:rsid w:val="00957B7A"/>
    <w:rsid w:val="009612C9"/>
    <w:rsid w:val="00962E3D"/>
    <w:rsid w:val="00965E3D"/>
    <w:rsid w:val="0097011E"/>
    <w:rsid w:val="00973655"/>
    <w:rsid w:val="009753E3"/>
    <w:rsid w:val="00975D60"/>
    <w:rsid w:val="00980C85"/>
    <w:rsid w:val="00981605"/>
    <w:rsid w:val="0098225C"/>
    <w:rsid w:val="009848A1"/>
    <w:rsid w:val="00984C89"/>
    <w:rsid w:val="00990403"/>
    <w:rsid w:val="00990DD5"/>
    <w:rsid w:val="009914F6"/>
    <w:rsid w:val="00991986"/>
    <w:rsid w:val="00991D64"/>
    <w:rsid w:val="00992FF9"/>
    <w:rsid w:val="00994108"/>
    <w:rsid w:val="00996C31"/>
    <w:rsid w:val="009A0A1A"/>
    <w:rsid w:val="009A7D89"/>
    <w:rsid w:val="009B089B"/>
    <w:rsid w:val="009B1A62"/>
    <w:rsid w:val="009B3936"/>
    <w:rsid w:val="009B49C5"/>
    <w:rsid w:val="009B5997"/>
    <w:rsid w:val="009B5A0B"/>
    <w:rsid w:val="009B5A5C"/>
    <w:rsid w:val="009B6B0D"/>
    <w:rsid w:val="009B7FA8"/>
    <w:rsid w:val="009C0154"/>
    <w:rsid w:val="009C295E"/>
    <w:rsid w:val="009C2BE4"/>
    <w:rsid w:val="009C3138"/>
    <w:rsid w:val="009C442F"/>
    <w:rsid w:val="009C54CD"/>
    <w:rsid w:val="009C6A36"/>
    <w:rsid w:val="009D1ED5"/>
    <w:rsid w:val="009D36D0"/>
    <w:rsid w:val="009D5169"/>
    <w:rsid w:val="009D5718"/>
    <w:rsid w:val="009D736A"/>
    <w:rsid w:val="009D7A6F"/>
    <w:rsid w:val="009E181A"/>
    <w:rsid w:val="009E205A"/>
    <w:rsid w:val="009E41DC"/>
    <w:rsid w:val="009E729E"/>
    <w:rsid w:val="009E7B2E"/>
    <w:rsid w:val="009F0D47"/>
    <w:rsid w:val="009F2EEB"/>
    <w:rsid w:val="009F35BF"/>
    <w:rsid w:val="009F763D"/>
    <w:rsid w:val="009F76A8"/>
    <w:rsid w:val="00A01878"/>
    <w:rsid w:val="00A01EB5"/>
    <w:rsid w:val="00A02EEA"/>
    <w:rsid w:val="00A035B7"/>
    <w:rsid w:val="00A04F2D"/>
    <w:rsid w:val="00A06B5C"/>
    <w:rsid w:val="00A10016"/>
    <w:rsid w:val="00A11325"/>
    <w:rsid w:val="00A1182F"/>
    <w:rsid w:val="00A11D7F"/>
    <w:rsid w:val="00A120E0"/>
    <w:rsid w:val="00A1259E"/>
    <w:rsid w:val="00A146FD"/>
    <w:rsid w:val="00A16FBE"/>
    <w:rsid w:val="00A23308"/>
    <w:rsid w:val="00A24FA5"/>
    <w:rsid w:val="00A30087"/>
    <w:rsid w:val="00A304F2"/>
    <w:rsid w:val="00A3088A"/>
    <w:rsid w:val="00A34017"/>
    <w:rsid w:val="00A34628"/>
    <w:rsid w:val="00A37D7A"/>
    <w:rsid w:val="00A37DC2"/>
    <w:rsid w:val="00A40257"/>
    <w:rsid w:val="00A40342"/>
    <w:rsid w:val="00A44720"/>
    <w:rsid w:val="00A454B9"/>
    <w:rsid w:val="00A46261"/>
    <w:rsid w:val="00A500A4"/>
    <w:rsid w:val="00A519DD"/>
    <w:rsid w:val="00A51E28"/>
    <w:rsid w:val="00A542E1"/>
    <w:rsid w:val="00A54E88"/>
    <w:rsid w:val="00A55B22"/>
    <w:rsid w:val="00A57E1E"/>
    <w:rsid w:val="00A60753"/>
    <w:rsid w:val="00A627DC"/>
    <w:rsid w:val="00A63880"/>
    <w:rsid w:val="00A63A53"/>
    <w:rsid w:val="00A64859"/>
    <w:rsid w:val="00A64BCE"/>
    <w:rsid w:val="00A65A1B"/>
    <w:rsid w:val="00A7140E"/>
    <w:rsid w:val="00A725B2"/>
    <w:rsid w:val="00A726E9"/>
    <w:rsid w:val="00A72B88"/>
    <w:rsid w:val="00A75BA0"/>
    <w:rsid w:val="00A75DE3"/>
    <w:rsid w:val="00A76BEE"/>
    <w:rsid w:val="00A81EAF"/>
    <w:rsid w:val="00A834CE"/>
    <w:rsid w:val="00A84140"/>
    <w:rsid w:val="00A855A4"/>
    <w:rsid w:val="00A8599E"/>
    <w:rsid w:val="00A8681E"/>
    <w:rsid w:val="00A8736F"/>
    <w:rsid w:val="00A9029A"/>
    <w:rsid w:val="00A91797"/>
    <w:rsid w:val="00A92F5E"/>
    <w:rsid w:val="00A93757"/>
    <w:rsid w:val="00A94BD0"/>
    <w:rsid w:val="00A95168"/>
    <w:rsid w:val="00A97315"/>
    <w:rsid w:val="00A97C67"/>
    <w:rsid w:val="00AA05E9"/>
    <w:rsid w:val="00AA1729"/>
    <w:rsid w:val="00AA21FF"/>
    <w:rsid w:val="00AA2E0E"/>
    <w:rsid w:val="00AA5A55"/>
    <w:rsid w:val="00AA7335"/>
    <w:rsid w:val="00AA7723"/>
    <w:rsid w:val="00AB0754"/>
    <w:rsid w:val="00AB09DC"/>
    <w:rsid w:val="00AB3903"/>
    <w:rsid w:val="00AB49D4"/>
    <w:rsid w:val="00AB6E82"/>
    <w:rsid w:val="00AC2F32"/>
    <w:rsid w:val="00AC3A5E"/>
    <w:rsid w:val="00AC5398"/>
    <w:rsid w:val="00AC6EE5"/>
    <w:rsid w:val="00AD0818"/>
    <w:rsid w:val="00AD0F89"/>
    <w:rsid w:val="00AD4805"/>
    <w:rsid w:val="00AD5422"/>
    <w:rsid w:val="00AD6F4A"/>
    <w:rsid w:val="00AD77BC"/>
    <w:rsid w:val="00AE1777"/>
    <w:rsid w:val="00AE33C9"/>
    <w:rsid w:val="00AE3AAD"/>
    <w:rsid w:val="00AE3CFC"/>
    <w:rsid w:val="00AE52BC"/>
    <w:rsid w:val="00AE5722"/>
    <w:rsid w:val="00AE657F"/>
    <w:rsid w:val="00AE6616"/>
    <w:rsid w:val="00AF1D5B"/>
    <w:rsid w:val="00AF30A9"/>
    <w:rsid w:val="00AF5CB6"/>
    <w:rsid w:val="00AF7B8A"/>
    <w:rsid w:val="00B0032E"/>
    <w:rsid w:val="00B009B0"/>
    <w:rsid w:val="00B0233A"/>
    <w:rsid w:val="00B032B8"/>
    <w:rsid w:val="00B06661"/>
    <w:rsid w:val="00B06E10"/>
    <w:rsid w:val="00B10EE6"/>
    <w:rsid w:val="00B159E3"/>
    <w:rsid w:val="00B17A70"/>
    <w:rsid w:val="00B20292"/>
    <w:rsid w:val="00B24224"/>
    <w:rsid w:val="00B2529A"/>
    <w:rsid w:val="00B2599C"/>
    <w:rsid w:val="00B261EC"/>
    <w:rsid w:val="00B26479"/>
    <w:rsid w:val="00B31B68"/>
    <w:rsid w:val="00B32E22"/>
    <w:rsid w:val="00B34365"/>
    <w:rsid w:val="00B34E1B"/>
    <w:rsid w:val="00B36008"/>
    <w:rsid w:val="00B379A8"/>
    <w:rsid w:val="00B37A9C"/>
    <w:rsid w:val="00B40B5C"/>
    <w:rsid w:val="00B41BAD"/>
    <w:rsid w:val="00B458F3"/>
    <w:rsid w:val="00B47E8C"/>
    <w:rsid w:val="00B51782"/>
    <w:rsid w:val="00B54833"/>
    <w:rsid w:val="00B60965"/>
    <w:rsid w:val="00B60A4C"/>
    <w:rsid w:val="00B62695"/>
    <w:rsid w:val="00B645AD"/>
    <w:rsid w:val="00B7131B"/>
    <w:rsid w:val="00B71553"/>
    <w:rsid w:val="00B71E76"/>
    <w:rsid w:val="00B729AC"/>
    <w:rsid w:val="00B74241"/>
    <w:rsid w:val="00B75D6A"/>
    <w:rsid w:val="00B763EE"/>
    <w:rsid w:val="00B767CC"/>
    <w:rsid w:val="00B77D4E"/>
    <w:rsid w:val="00B77DF7"/>
    <w:rsid w:val="00B80361"/>
    <w:rsid w:val="00B80E63"/>
    <w:rsid w:val="00B81AA4"/>
    <w:rsid w:val="00B82004"/>
    <w:rsid w:val="00B82A0A"/>
    <w:rsid w:val="00B85F00"/>
    <w:rsid w:val="00B860F9"/>
    <w:rsid w:val="00B868B8"/>
    <w:rsid w:val="00B87F57"/>
    <w:rsid w:val="00B9076B"/>
    <w:rsid w:val="00B924A1"/>
    <w:rsid w:val="00B92600"/>
    <w:rsid w:val="00B9477C"/>
    <w:rsid w:val="00B953EF"/>
    <w:rsid w:val="00B97969"/>
    <w:rsid w:val="00BA1C27"/>
    <w:rsid w:val="00BA298B"/>
    <w:rsid w:val="00BA58AB"/>
    <w:rsid w:val="00BB0E2F"/>
    <w:rsid w:val="00BC1026"/>
    <w:rsid w:val="00BC1480"/>
    <w:rsid w:val="00BC1696"/>
    <w:rsid w:val="00BC377D"/>
    <w:rsid w:val="00BC62B3"/>
    <w:rsid w:val="00BC7E83"/>
    <w:rsid w:val="00BD1245"/>
    <w:rsid w:val="00BD3CB8"/>
    <w:rsid w:val="00BD565F"/>
    <w:rsid w:val="00BD56F2"/>
    <w:rsid w:val="00BD78E6"/>
    <w:rsid w:val="00BE66E7"/>
    <w:rsid w:val="00BE7F02"/>
    <w:rsid w:val="00BF0230"/>
    <w:rsid w:val="00BF301D"/>
    <w:rsid w:val="00BF435D"/>
    <w:rsid w:val="00BF5816"/>
    <w:rsid w:val="00BF61BE"/>
    <w:rsid w:val="00BF66F8"/>
    <w:rsid w:val="00BF672F"/>
    <w:rsid w:val="00C02B59"/>
    <w:rsid w:val="00C0601D"/>
    <w:rsid w:val="00C13408"/>
    <w:rsid w:val="00C14E1B"/>
    <w:rsid w:val="00C258F4"/>
    <w:rsid w:val="00C259E0"/>
    <w:rsid w:val="00C30465"/>
    <w:rsid w:val="00C318B4"/>
    <w:rsid w:val="00C3215D"/>
    <w:rsid w:val="00C36C97"/>
    <w:rsid w:val="00C411F6"/>
    <w:rsid w:val="00C419FB"/>
    <w:rsid w:val="00C431ED"/>
    <w:rsid w:val="00C434A0"/>
    <w:rsid w:val="00C4362D"/>
    <w:rsid w:val="00C471F3"/>
    <w:rsid w:val="00C50811"/>
    <w:rsid w:val="00C5662D"/>
    <w:rsid w:val="00C5719B"/>
    <w:rsid w:val="00C707CE"/>
    <w:rsid w:val="00C732EF"/>
    <w:rsid w:val="00C73FFA"/>
    <w:rsid w:val="00C7630A"/>
    <w:rsid w:val="00C76A32"/>
    <w:rsid w:val="00C77185"/>
    <w:rsid w:val="00C83176"/>
    <w:rsid w:val="00C8373F"/>
    <w:rsid w:val="00C83BDE"/>
    <w:rsid w:val="00C83CE5"/>
    <w:rsid w:val="00C859F7"/>
    <w:rsid w:val="00C87734"/>
    <w:rsid w:val="00C90194"/>
    <w:rsid w:val="00C91668"/>
    <w:rsid w:val="00C91A2F"/>
    <w:rsid w:val="00C93627"/>
    <w:rsid w:val="00C947B6"/>
    <w:rsid w:val="00C949C0"/>
    <w:rsid w:val="00C97BF2"/>
    <w:rsid w:val="00C97EAF"/>
    <w:rsid w:val="00CA129D"/>
    <w:rsid w:val="00CA197A"/>
    <w:rsid w:val="00CA2B99"/>
    <w:rsid w:val="00CA3F3A"/>
    <w:rsid w:val="00CA4126"/>
    <w:rsid w:val="00CB043D"/>
    <w:rsid w:val="00CB04A3"/>
    <w:rsid w:val="00CB2C28"/>
    <w:rsid w:val="00CB3E14"/>
    <w:rsid w:val="00CB4858"/>
    <w:rsid w:val="00CC17DB"/>
    <w:rsid w:val="00CD0770"/>
    <w:rsid w:val="00CD2FD3"/>
    <w:rsid w:val="00CD604B"/>
    <w:rsid w:val="00CD6B6B"/>
    <w:rsid w:val="00CD77BF"/>
    <w:rsid w:val="00CE0581"/>
    <w:rsid w:val="00CE0E66"/>
    <w:rsid w:val="00CE2B2F"/>
    <w:rsid w:val="00CE2CB0"/>
    <w:rsid w:val="00CE44F6"/>
    <w:rsid w:val="00CE6552"/>
    <w:rsid w:val="00CE6A8E"/>
    <w:rsid w:val="00CE7C7C"/>
    <w:rsid w:val="00CE7E13"/>
    <w:rsid w:val="00CF16D9"/>
    <w:rsid w:val="00CF38C6"/>
    <w:rsid w:val="00CF4581"/>
    <w:rsid w:val="00CF5F7D"/>
    <w:rsid w:val="00CF75EB"/>
    <w:rsid w:val="00CF78C3"/>
    <w:rsid w:val="00CF7CAE"/>
    <w:rsid w:val="00D03BDB"/>
    <w:rsid w:val="00D04120"/>
    <w:rsid w:val="00D04F64"/>
    <w:rsid w:val="00D067D1"/>
    <w:rsid w:val="00D163D1"/>
    <w:rsid w:val="00D16E6A"/>
    <w:rsid w:val="00D17B24"/>
    <w:rsid w:val="00D22671"/>
    <w:rsid w:val="00D321B2"/>
    <w:rsid w:val="00D324A2"/>
    <w:rsid w:val="00D3498C"/>
    <w:rsid w:val="00D351B6"/>
    <w:rsid w:val="00D40701"/>
    <w:rsid w:val="00D40A61"/>
    <w:rsid w:val="00D440FB"/>
    <w:rsid w:val="00D45582"/>
    <w:rsid w:val="00D45B72"/>
    <w:rsid w:val="00D45C1C"/>
    <w:rsid w:val="00D47429"/>
    <w:rsid w:val="00D51BC1"/>
    <w:rsid w:val="00D5427C"/>
    <w:rsid w:val="00D5610A"/>
    <w:rsid w:val="00D5745D"/>
    <w:rsid w:val="00D57949"/>
    <w:rsid w:val="00D60DD4"/>
    <w:rsid w:val="00D61BAD"/>
    <w:rsid w:val="00D6263E"/>
    <w:rsid w:val="00D62EF6"/>
    <w:rsid w:val="00D64F2F"/>
    <w:rsid w:val="00D66B51"/>
    <w:rsid w:val="00D678BB"/>
    <w:rsid w:val="00D71991"/>
    <w:rsid w:val="00D740C9"/>
    <w:rsid w:val="00D7727C"/>
    <w:rsid w:val="00D77705"/>
    <w:rsid w:val="00D77997"/>
    <w:rsid w:val="00D80FB5"/>
    <w:rsid w:val="00D81E77"/>
    <w:rsid w:val="00D83172"/>
    <w:rsid w:val="00D851BD"/>
    <w:rsid w:val="00D86012"/>
    <w:rsid w:val="00D912B6"/>
    <w:rsid w:val="00D92DFF"/>
    <w:rsid w:val="00D97068"/>
    <w:rsid w:val="00D97AD1"/>
    <w:rsid w:val="00D97B2A"/>
    <w:rsid w:val="00DA14B9"/>
    <w:rsid w:val="00DA24E3"/>
    <w:rsid w:val="00DA29A4"/>
    <w:rsid w:val="00DA337A"/>
    <w:rsid w:val="00DA3C9E"/>
    <w:rsid w:val="00DA6D88"/>
    <w:rsid w:val="00DB1667"/>
    <w:rsid w:val="00DB17B2"/>
    <w:rsid w:val="00DB29FA"/>
    <w:rsid w:val="00DB4D3E"/>
    <w:rsid w:val="00DB5448"/>
    <w:rsid w:val="00DB5F83"/>
    <w:rsid w:val="00DB7C93"/>
    <w:rsid w:val="00DB7F6A"/>
    <w:rsid w:val="00DC3A43"/>
    <w:rsid w:val="00DC4A99"/>
    <w:rsid w:val="00DD0B41"/>
    <w:rsid w:val="00DD21A9"/>
    <w:rsid w:val="00DD4285"/>
    <w:rsid w:val="00DD5C36"/>
    <w:rsid w:val="00DD6B89"/>
    <w:rsid w:val="00DD707D"/>
    <w:rsid w:val="00DE0188"/>
    <w:rsid w:val="00DE536F"/>
    <w:rsid w:val="00DF2DBB"/>
    <w:rsid w:val="00DF454D"/>
    <w:rsid w:val="00E000A1"/>
    <w:rsid w:val="00E01229"/>
    <w:rsid w:val="00E015D5"/>
    <w:rsid w:val="00E01D4D"/>
    <w:rsid w:val="00E11059"/>
    <w:rsid w:val="00E131F4"/>
    <w:rsid w:val="00E13637"/>
    <w:rsid w:val="00E14754"/>
    <w:rsid w:val="00E20A9F"/>
    <w:rsid w:val="00E20B18"/>
    <w:rsid w:val="00E22100"/>
    <w:rsid w:val="00E23B58"/>
    <w:rsid w:val="00E25787"/>
    <w:rsid w:val="00E26EA4"/>
    <w:rsid w:val="00E27CF8"/>
    <w:rsid w:val="00E27FE7"/>
    <w:rsid w:val="00E3084C"/>
    <w:rsid w:val="00E30FE7"/>
    <w:rsid w:val="00E3119B"/>
    <w:rsid w:val="00E32B65"/>
    <w:rsid w:val="00E3543E"/>
    <w:rsid w:val="00E35472"/>
    <w:rsid w:val="00E37D33"/>
    <w:rsid w:val="00E40AD1"/>
    <w:rsid w:val="00E4282F"/>
    <w:rsid w:val="00E43F58"/>
    <w:rsid w:val="00E441FB"/>
    <w:rsid w:val="00E450BB"/>
    <w:rsid w:val="00E455B8"/>
    <w:rsid w:val="00E45F6B"/>
    <w:rsid w:val="00E475C6"/>
    <w:rsid w:val="00E51A4E"/>
    <w:rsid w:val="00E52284"/>
    <w:rsid w:val="00E534B9"/>
    <w:rsid w:val="00E54286"/>
    <w:rsid w:val="00E55B7A"/>
    <w:rsid w:val="00E61310"/>
    <w:rsid w:val="00E63C2C"/>
    <w:rsid w:val="00E645B8"/>
    <w:rsid w:val="00E65DAE"/>
    <w:rsid w:val="00E6679D"/>
    <w:rsid w:val="00E671C9"/>
    <w:rsid w:val="00E67A41"/>
    <w:rsid w:val="00E67B89"/>
    <w:rsid w:val="00E70184"/>
    <w:rsid w:val="00E7192F"/>
    <w:rsid w:val="00E72E7B"/>
    <w:rsid w:val="00E74681"/>
    <w:rsid w:val="00E75233"/>
    <w:rsid w:val="00E76080"/>
    <w:rsid w:val="00E76F7E"/>
    <w:rsid w:val="00E80C24"/>
    <w:rsid w:val="00E833CE"/>
    <w:rsid w:val="00E848D8"/>
    <w:rsid w:val="00E84C0F"/>
    <w:rsid w:val="00E84D24"/>
    <w:rsid w:val="00E86849"/>
    <w:rsid w:val="00E86BDD"/>
    <w:rsid w:val="00E90AE2"/>
    <w:rsid w:val="00E911C3"/>
    <w:rsid w:val="00E93E97"/>
    <w:rsid w:val="00E93FE7"/>
    <w:rsid w:val="00E9432F"/>
    <w:rsid w:val="00E95094"/>
    <w:rsid w:val="00E95FC8"/>
    <w:rsid w:val="00E972E2"/>
    <w:rsid w:val="00E97F02"/>
    <w:rsid w:val="00EA27FE"/>
    <w:rsid w:val="00EA46D0"/>
    <w:rsid w:val="00EA5D78"/>
    <w:rsid w:val="00EA608E"/>
    <w:rsid w:val="00EB35E2"/>
    <w:rsid w:val="00EB370D"/>
    <w:rsid w:val="00EB4FB4"/>
    <w:rsid w:val="00EB77B3"/>
    <w:rsid w:val="00EC17FD"/>
    <w:rsid w:val="00EC2E10"/>
    <w:rsid w:val="00EC3D0C"/>
    <w:rsid w:val="00EC68A1"/>
    <w:rsid w:val="00EC6A64"/>
    <w:rsid w:val="00EC75F3"/>
    <w:rsid w:val="00EC780B"/>
    <w:rsid w:val="00ED10AD"/>
    <w:rsid w:val="00ED166D"/>
    <w:rsid w:val="00ED22CC"/>
    <w:rsid w:val="00ED2DC6"/>
    <w:rsid w:val="00ED50D9"/>
    <w:rsid w:val="00EE00B7"/>
    <w:rsid w:val="00EE19FF"/>
    <w:rsid w:val="00EF2EAA"/>
    <w:rsid w:val="00EF4CFB"/>
    <w:rsid w:val="00EF6855"/>
    <w:rsid w:val="00EF7296"/>
    <w:rsid w:val="00F0040E"/>
    <w:rsid w:val="00F0081A"/>
    <w:rsid w:val="00F013B4"/>
    <w:rsid w:val="00F0140B"/>
    <w:rsid w:val="00F016D3"/>
    <w:rsid w:val="00F025DA"/>
    <w:rsid w:val="00F04A8B"/>
    <w:rsid w:val="00F05945"/>
    <w:rsid w:val="00F062F1"/>
    <w:rsid w:val="00F06DDA"/>
    <w:rsid w:val="00F077F4"/>
    <w:rsid w:val="00F079A6"/>
    <w:rsid w:val="00F10052"/>
    <w:rsid w:val="00F10CE0"/>
    <w:rsid w:val="00F11D02"/>
    <w:rsid w:val="00F12265"/>
    <w:rsid w:val="00F12FCF"/>
    <w:rsid w:val="00F141DF"/>
    <w:rsid w:val="00F14D0E"/>
    <w:rsid w:val="00F15CF0"/>
    <w:rsid w:val="00F1715F"/>
    <w:rsid w:val="00F20667"/>
    <w:rsid w:val="00F20C96"/>
    <w:rsid w:val="00F20CBE"/>
    <w:rsid w:val="00F22165"/>
    <w:rsid w:val="00F22FA2"/>
    <w:rsid w:val="00F24234"/>
    <w:rsid w:val="00F251B0"/>
    <w:rsid w:val="00F25C4C"/>
    <w:rsid w:val="00F2742D"/>
    <w:rsid w:val="00F31135"/>
    <w:rsid w:val="00F3342F"/>
    <w:rsid w:val="00F33733"/>
    <w:rsid w:val="00F33F7A"/>
    <w:rsid w:val="00F351F4"/>
    <w:rsid w:val="00F35538"/>
    <w:rsid w:val="00F361E0"/>
    <w:rsid w:val="00F376FD"/>
    <w:rsid w:val="00F405EC"/>
    <w:rsid w:val="00F41ACA"/>
    <w:rsid w:val="00F427A7"/>
    <w:rsid w:val="00F42F3F"/>
    <w:rsid w:val="00F451E8"/>
    <w:rsid w:val="00F45A3E"/>
    <w:rsid w:val="00F45CE7"/>
    <w:rsid w:val="00F51706"/>
    <w:rsid w:val="00F5193D"/>
    <w:rsid w:val="00F51FDE"/>
    <w:rsid w:val="00F52B43"/>
    <w:rsid w:val="00F52FC6"/>
    <w:rsid w:val="00F53EBA"/>
    <w:rsid w:val="00F553E9"/>
    <w:rsid w:val="00F558A1"/>
    <w:rsid w:val="00F5665F"/>
    <w:rsid w:val="00F616AF"/>
    <w:rsid w:val="00F65C05"/>
    <w:rsid w:val="00F70F59"/>
    <w:rsid w:val="00F72751"/>
    <w:rsid w:val="00F76EB7"/>
    <w:rsid w:val="00F76F38"/>
    <w:rsid w:val="00F81223"/>
    <w:rsid w:val="00F83D21"/>
    <w:rsid w:val="00F84B63"/>
    <w:rsid w:val="00F85525"/>
    <w:rsid w:val="00F85D32"/>
    <w:rsid w:val="00F86DBE"/>
    <w:rsid w:val="00F90438"/>
    <w:rsid w:val="00F91661"/>
    <w:rsid w:val="00F939BC"/>
    <w:rsid w:val="00F95823"/>
    <w:rsid w:val="00F97B2F"/>
    <w:rsid w:val="00FA2FC2"/>
    <w:rsid w:val="00FA33D7"/>
    <w:rsid w:val="00FA4BAF"/>
    <w:rsid w:val="00FA59CE"/>
    <w:rsid w:val="00FA6653"/>
    <w:rsid w:val="00FB327E"/>
    <w:rsid w:val="00FB407B"/>
    <w:rsid w:val="00FB4C23"/>
    <w:rsid w:val="00FB620C"/>
    <w:rsid w:val="00FB633C"/>
    <w:rsid w:val="00FB746B"/>
    <w:rsid w:val="00FC2458"/>
    <w:rsid w:val="00FC4041"/>
    <w:rsid w:val="00FD034A"/>
    <w:rsid w:val="00FD13E7"/>
    <w:rsid w:val="00FD2535"/>
    <w:rsid w:val="00FD2A23"/>
    <w:rsid w:val="00FD3770"/>
    <w:rsid w:val="00FD41C6"/>
    <w:rsid w:val="00FD42D6"/>
    <w:rsid w:val="00FD48FE"/>
    <w:rsid w:val="00FD515B"/>
    <w:rsid w:val="00FE0497"/>
    <w:rsid w:val="00FE21CF"/>
    <w:rsid w:val="00FE29C8"/>
    <w:rsid w:val="00FF1D44"/>
    <w:rsid w:val="00FF4151"/>
    <w:rsid w:val="00FF67B2"/>
    <w:rsid w:val="00FF7D40"/>
    <w:rsid w:val="0606A8E3"/>
    <w:rsid w:val="096B3448"/>
    <w:rsid w:val="16E34842"/>
    <w:rsid w:val="363F3028"/>
    <w:rsid w:val="38ED3F0E"/>
    <w:rsid w:val="3A526AF9"/>
    <w:rsid w:val="3B066E14"/>
    <w:rsid w:val="3C0EBE54"/>
    <w:rsid w:val="3DAA7865"/>
    <w:rsid w:val="3F0D7EB0"/>
    <w:rsid w:val="43F3E8BA"/>
    <w:rsid w:val="450FCB33"/>
    <w:rsid w:val="69E83A8A"/>
    <w:rsid w:val="6C4F207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3CE9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fr-BE" w:bidi="ar-SA"/>
      </w:rPr>
    </w:rPrDefault>
    <w:pPrDefault/>
  </w:docDefaults>
  <w:latentStyles w:defLockedState="1" w:defUIPriority="0" w:defSemiHidden="0" w:defUnhideWhenUsed="0" w:defQFormat="0" w:count="371">
    <w:lsdException w:name="Normal" w:uiPriority="1"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99"/>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0" w:qFormat="1"/>
    <w:lsdException w:name="Closing" w:uiPriority="2"/>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uiPriority="99"/>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99"/>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Grid Table 7 Colorful Accent 6" w:uiPriority="52"/>
  </w:latentStyles>
  <w:style w:type="paragraph" w:default="1" w:styleId="Normal">
    <w:name w:val="Normal"/>
    <w:uiPriority w:val="1"/>
    <w:qFormat/>
    <w:pPr>
      <w:spacing w:after="240"/>
      <w:jc w:val="both"/>
    </w:pPr>
  </w:style>
  <w:style w:type="paragraph" w:styleId="Heading1">
    <w:name w:val="heading 1"/>
    <w:basedOn w:val="Normal"/>
    <w:next w:val="Text1"/>
    <w:link w:val="Heading1Char"/>
    <w:uiPriority w:val="9"/>
    <w:qFormat/>
    <w:pPr>
      <w:keepNext/>
      <w:numPr>
        <w:numId w:val="4"/>
      </w:numPr>
      <w:spacing w:before="240"/>
      <w:outlineLvl w:val="0"/>
    </w:pPr>
    <w:rPr>
      <w:b/>
      <w:smallCaps/>
    </w:rPr>
  </w:style>
  <w:style w:type="paragraph" w:styleId="Heading2">
    <w:name w:val="heading 2"/>
    <w:basedOn w:val="Normal"/>
    <w:next w:val="Text2"/>
    <w:link w:val="Heading2Char"/>
    <w:uiPriority w:val="9"/>
    <w:qFormat/>
    <w:pPr>
      <w:keepNext/>
      <w:numPr>
        <w:ilvl w:val="1"/>
        <w:numId w:val="4"/>
      </w:numPr>
      <w:outlineLvl w:val="1"/>
    </w:pPr>
    <w:rPr>
      <w:b/>
    </w:rPr>
  </w:style>
  <w:style w:type="paragraph" w:styleId="Heading3">
    <w:name w:val="heading 3"/>
    <w:basedOn w:val="Normal"/>
    <w:next w:val="Text3"/>
    <w:link w:val="Heading3Char"/>
    <w:uiPriority w:val="9"/>
    <w:qFormat/>
    <w:pPr>
      <w:keepNext/>
      <w:numPr>
        <w:ilvl w:val="2"/>
        <w:numId w:val="4"/>
      </w:numPr>
      <w:outlineLvl w:val="2"/>
    </w:pPr>
    <w:rPr>
      <w:i/>
    </w:rPr>
  </w:style>
  <w:style w:type="paragraph" w:styleId="Heading4">
    <w:name w:val="heading 4"/>
    <w:basedOn w:val="Normal"/>
    <w:next w:val="Text4"/>
    <w:link w:val="Heading4Char"/>
    <w:uiPriority w:val="9"/>
    <w:qFormat/>
    <w:pPr>
      <w:keepNext/>
      <w:numPr>
        <w:ilvl w:val="3"/>
        <w:numId w:val="4"/>
      </w:numPr>
      <w:outlineLvl w:val="3"/>
    </w:pPr>
  </w:style>
  <w:style w:type="paragraph" w:styleId="Heading5">
    <w:name w:val="heading 5"/>
    <w:basedOn w:val="Normal"/>
    <w:next w:val="Normal"/>
    <w:link w:val="Heading5Char"/>
    <w:uiPriority w:val="9"/>
    <w:semiHidden/>
    <w:qFormat/>
    <w:pPr>
      <w:keepNext/>
      <w:numPr>
        <w:ilvl w:val="4"/>
        <w:numId w:val="4"/>
      </w:numPr>
      <w:outlineLvl w:val="4"/>
    </w:pPr>
  </w:style>
  <w:style w:type="paragraph" w:styleId="Heading6">
    <w:name w:val="heading 6"/>
    <w:basedOn w:val="Normal"/>
    <w:next w:val="Normal"/>
    <w:link w:val="Heading6Char"/>
    <w:uiPriority w:val="9"/>
    <w:semiHidden/>
    <w:qFormat/>
    <w:pPr>
      <w:keepNext/>
      <w:numPr>
        <w:ilvl w:val="5"/>
        <w:numId w:val="4"/>
      </w:numPr>
      <w:outlineLvl w:val="5"/>
    </w:pPr>
  </w:style>
  <w:style w:type="paragraph" w:styleId="Heading7">
    <w:name w:val="heading 7"/>
    <w:basedOn w:val="Normal"/>
    <w:next w:val="Normal"/>
    <w:link w:val="Heading7Char"/>
    <w:uiPriority w:val="9"/>
    <w:semiHidden/>
    <w:qFormat/>
    <w:pPr>
      <w:keepNext/>
      <w:numPr>
        <w:ilvl w:val="6"/>
        <w:numId w:val="4"/>
      </w:numPr>
      <w:outlineLvl w:val="6"/>
    </w:pPr>
  </w:style>
  <w:style w:type="paragraph" w:styleId="Heading8">
    <w:name w:val="heading 8"/>
    <w:basedOn w:val="Normal"/>
    <w:next w:val="Normal"/>
    <w:link w:val="Heading8Char"/>
    <w:uiPriority w:val="9"/>
    <w:semiHidden/>
    <w:qFormat/>
    <w:pPr>
      <w:keepNext/>
      <w:numPr>
        <w:ilvl w:val="7"/>
        <w:numId w:val="4"/>
      </w:numPr>
      <w:outlineLvl w:val="7"/>
    </w:pPr>
  </w:style>
  <w:style w:type="paragraph" w:styleId="Heading9">
    <w:name w:val="heading 9"/>
    <w:basedOn w:val="Normal"/>
    <w:next w:val="Normal"/>
    <w:link w:val="Heading9Char"/>
    <w:uiPriority w:val="9"/>
    <w:semiHidden/>
    <w:qFormat/>
    <w:pPr>
      <w:keepNext/>
      <w:numPr>
        <w:ilvl w:val="8"/>
        <w:numId w:val="4"/>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uiPriority w:val="2"/>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InstructionPlaceholder">
    <w:name w:val="InstructionPlaceholder"/>
    <w:uiPriority w:val="1"/>
    <w:rPr>
      <w:color w:val="CB3535"/>
    </w:rPr>
  </w:style>
  <w:style w:type="character" w:customStyle="1" w:styleId="InstructionBlue">
    <w:name w:val="InstructionBlue"/>
    <w:uiPriority w:val="1"/>
    <w:rPr>
      <w:i/>
      <w:color w:val="3366CC"/>
    </w:rPr>
  </w:style>
  <w:style w:type="character" w:customStyle="1" w:styleId="InstructionRed">
    <w:name w:val="InstructionRed"/>
    <w:uiPriority w:val="1"/>
    <w:rPr>
      <w:i/>
      <w:color w:val="CB3535"/>
    </w:rPr>
  </w:style>
  <w:style w:type="character" w:customStyle="1" w:styleId="BodyPlaceholderText">
    <w:name w:val="BodyPlaceholderText"/>
    <w:basedOn w:val="PlaceholderText"/>
    <w:semiHidden/>
    <w:rPr>
      <w:color w:val="3366CC"/>
    </w:rPr>
  </w:style>
  <w:style w:type="character" w:styleId="PlaceholderText">
    <w:name w:val="Placeholder Text"/>
    <w:basedOn w:val="DefaultParagraphFont"/>
    <w:semiHidden/>
    <w:rPr>
      <w:color w:val="288061"/>
    </w:rPr>
  </w:style>
  <w:style w:type="paragraph" w:customStyle="1" w:styleId="Copies">
    <w:name w:val="Copies"/>
    <w:basedOn w:val="Normal"/>
    <w:uiPriority w:val="2"/>
    <w:pPr>
      <w:tabs>
        <w:tab w:val="left" w:pos="5669"/>
      </w:tabs>
      <w:spacing w:before="480" w:after="0"/>
      <w:ind w:left="1984" w:hanging="1984"/>
      <w:contextualSpacing/>
      <w:jc w:val="left"/>
    </w:pPr>
  </w:style>
  <w:style w:type="paragraph" w:customStyle="1" w:styleId="Participants">
    <w:name w:val="Participants"/>
    <w:basedOn w:val="Normal"/>
    <w:uiPriority w:val="2"/>
    <w:pPr>
      <w:tabs>
        <w:tab w:val="left" w:pos="2551"/>
        <w:tab w:val="left" w:pos="2835"/>
        <w:tab w:val="left" w:pos="5669"/>
        <w:tab w:val="left" w:pos="6378"/>
        <w:tab w:val="left" w:pos="6803"/>
      </w:tabs>
      <w:spacing w:before="480" w:after="0"/>
      <w:ind w:left="1984" w:hanging="1984"/>
      <w:contextualSpacing/>
      <w:jc w:val="left"/>
    </w:pPr>
  </w:style>
  <w:style w:type="paragraph" w:customStyle="1" w:styleId="Enclosures">
    <w:name w:val="Enclosures"/>
    <w:basedOn w:val="Normal"/>
    <w:uiPriority w:val="2"/>
    <w:pPr>
      <w:keepNext/>
      <w:keepLines/>
      <w:tabs>
        <w:tab w:val="left" w:pos="5669"/>
      </w:tabs>
      <w:spacing w:before="480" w:after="0"/>
      <w:ind w:left="1984" w:hanging="1984"/>
      <w:contextualSpacing/>
      <w:jc w:val="left"/>
    </w:pPr>
  </w:style>
  <w:style w:type="paragraph" w:customStyle="1" w:styleId="DoubSign">
    <w:name w:val="DoubSign"/>
    <w:basedOn w:val="Normal"/>
    <w:next w:val="Contact"/>
    <w:uiPriority w:val="2"/>
    <w:pPr>
      <w:tabs>
        <w:tab w:val="left" w:pos="5102"/>
      </w:tabs>
      <w:spacing w:before="1200" w:after="0"/>
      <w:jc w:val="left"/>
    </w:pPr>
  </w:style>
  <w:style w:type="paragraph" w:customStyle="1" w:styleId="SignatureL">
    <w:name w:val="SignatureL"/>
    <w:basedOn w:val="Normal"/>
    <w:next w:val="Contact"/>
    <w:uiPriority w:val="2"/>
    <w:pPr>
      <w:tabs>
        <w:tab w:val="left" w:pos="5102"/>
      </w:tabs>
      <w:spacing w:before="1200" w:after="0"/>
      <w:jc w:val="left"/>
    </w:pPr>
  </w:style>
  <w:style w:type="paragraph" w:styleId="Signature">
    <w:name w:val="Signature"/>
    <w:basedOn w:val="Normal"/>
    <w:next w:val="Contact"/>
    <w:uiPriority w:val="2"/>
    <w:pPr>
      <w:tabs>
        <w:tab w:val="left" w:pos="5102"/>
      </w:tabs>
      <w:spacing w:before="1200" w:after="0"/>
      <w:ind w:left="5102"/>
      <w:jc w:val="center"/>
    </w:pPr>
  </w:style>
  <w:style w:type="paragraph" w:customStyle="1" w:styleId="ClosingL">
    <w:name w:val="ClosingL"/>
    <w:basedOn w:val="Normal"/>
    <w:next w:val="Signature"/>
    <w:uiPriority w:val="2"/>
    <w:pPr>
      <w:spacing w:before="240"/>
      <w:jc w:val="left"/>
    </w:pPr>
  </w:style>
  <w:style w:type="paragraph" w:styleId="Closing">
    <w:name w:val="Closing"/>
    <w:basedOn w:val="Normal"/>
    <w:next w:val="Signature"/>
    <w:uiPriority w:val="2"/>
    <w:pPr>
      <w:tabs>
        <w:tab w:val="left" w:pos="5102"/>
      </w:tabs>
      <w:spacing w:before="240"/>
      <w:ind w:left="5102"/>
      <w:jc w:val="left"/>
    </w:pPr>
  </w:style>
  <w:style w:type="paragraph" w:customStyle="1" w:styleId="YReferences">
    <w:name w:val="YReferences"/>
    <w:basedOn w:val="Normal"/>
    <w:uiPriority w:val="2"/>
    <w:pPr>
      <w:spacing w:after="480"/>
      <w:ind w:left="1531" w:hanging="1531"/>
      <w:contextualSpacing/>
    </w:pPr>
  </w:style>
  <w:style w:type="paragraph" w:customStyle="1" w:styleId="Subject">
    <w:name w:val="Subject"/>
    <w:basedOn w:val="Normal"/>
    <w:uiPriority w:val="2"/>
    <w:pPr>
      <w:spacing w:after="480"/>
      <w:ind w:left="1531" w:hanging="1531"/>
      <w:contextualSpacing/>
      <w:jc w:val="left"/>
    </w:pPr>
    <w:rPr>
      <w:b/>
    </w:rPr>
  </w:style>
  <w:style w:type="paragraph" w:customStyle="1" w:styleId="NoteColumn">
    <w:name w:val="NoteColumn"/>
    <w:basedOn w:val="Normal"/>
    <w:uiPriority w:val="2"/>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uiPriority w:val="2"/>
    <w:pPr>
      <w:tabs>
        <w:tab w:val="left" w:pos="5822"/>
      </w:tabs>
      <w:spacing w:before="720" w:after="720"/>
      <w:ind w:left="5102" w:hanging="3118"/>
      <w:contextualSpacing/>
      <w:jc w:val="left"/>
    </w:pPr>
    <w:rPr>
      <w:b/>
      <w:smallCaps/>
    </w:rPr>
  </w:style>
  <w:style w:type="paragraph" w:customStyle="1" w:styleId="NoteAddressee">
    <w:name w:val="NoteAddressee"/>
    <w:basedOn w:val="Normal"/>
    <w:uiPriority w:val="2"/>
    <w:pPr>
      <w:spacing w:after="720"/>
      <w:contextualSpacing/>
      <w:jc w:val="center"/>
    </w:pPr>
    <w:rPr>
      <w:b/>
      <w:smallCaps/>
    </w:rPr>
  </w:style>
  <w:style w:type="paragraph" w:customStyle="1" w:styleId="NoteTitle">
    <w:name w:val="NoteTitle"/>
    <w:basedOn w:val="Normal"/>
    <w:uiPriority w:val="2"/>
    <w:pPr>
      <w:spacing w:before="720" w:after="360"/>
      <w:contextualSpacing/>
      <w:jc w:val="center"/>
    </w:pPr>
    <w:rPr>
      <w:b/>
      <w:smallCaps/>
    </w:rPr>
  </w:style>
  <w:style w:type="paragraph" w:customStyle="1" w:styleId="NoteHead">
    <w:name w:val="NoteHead"/>
    <w:basedOn w:val="Normal"/>
    <w:uiPriority w:val="2"/>
    <w:pPr>
      <w:spacing w:before="720" w:after="720"/>
      <w:contextualSpacing/>
      <w:jc w:val="center"/>
    </w:pPr>
    <w:rPr>
      <w:b/>
      <w:smallCaps/>
    </w:rPr>
  </w:style>
  <w:style w:type="paragraph" w:customStyle="1" w:styleId="ContNumLevel3">
    <w:name w:val="ContNum (Level 3)"/>
    <w:basedOn w:val="Normal"/>
    <w:uiPriority w:val="1"/>
    <w:pPr>
      <w:numPr>
        <w:ilvl w:val="2"/>
        <w:numId w:val="2"/>
      </w:numPr>
    </w:pPr>
  </w:style>
  <w:style w:type="paragraph" w:customStyle="1" w:styleId="ContNumLevel2">
    <w:name w:val="ContNum (Level 2)"/>
    <w:basedOn w:val="Normal"/>
    <w:uiPriority w:val="1"/>
    <w:pPr>
      <w:numPr>
        <w:ilvl w:val="1"/>
        <w:numId w:val="2"/>
      </w:numPr>
    </w:pPr>
  </w:style>
  <w:style w:type="paragraph" w:customStyle="1" w:styleId="ContNum">
    <w:name w:val="ContNum"/>
    <w:basedOn w:val="Normal"/>
    <w:uiPriority w:val="1"/>
    <w:qFormat/>
    <w:pPr>
      <w:numPr>
        <w:numId w:val="2"/>
      </w:numPr>
    </w:pPr>
  </w:style>
  <w:style w:type="paragraph" w:customStyle="1" w:styleId="LegalNumPar3">
    <w:name w:val="LegalNumPar3"/>
    <w:basedOn w:val="Normal"/>
    <w:uiPriority w:val="1"/>
    <w:pPr>
      <w:numPr>
        <w:ilvl w:val="2"/>
        <w:numId w:val="3"/>
      </w:numPr>
      <w:spacing w:line="360" w:lineRule="auto"/>
    </w:pPr>
  </w:style>
  <w:style w:type="paragraph" w:customStyle="1" w:styleId="LegalNumPar2">
    <w:name w:val="LegalNumPar2"/>
    <w:basedOn w:val="Normal"/>
    <w:uiPriority w:val="1"/>
    <w:pPr>
      <w:numPr>
        <w:ilvl w:val="1"/>
        <w:numId w:val="3"/>
      </w:numPr>
      <w:spacing w:line="360" w:lineRule="auto"/>
    </w:pPr>
  </w:style>
  <w:style w:type="paragraph" w:customStyle="1" w:styleId="LegalNumPar">
    <w:name w:val="LegalNumPar"/>
    <w:basedOn w:val="Normal"/>
    <w:uiPriority w:val="1"/>
    <w:qFormat/>
    <w:pPr>
      <w:numPr>
        <w:numId w:val="3"/>
      </w:numPr>
      <w:spacing w:line="360" w:lineRule="auto"/>
    </w:pPr>
  </w:style>
  <w:style w:type="paragraph" w:customStyle="1" w:styleId="Marking">
    <w:name w:val="Marking"/>
    <w:basedOn w:val="Normal"/>
    <w:semiHidden/>
    <w:pPr>
      <w:ind w:left="5102" w:right="-567"/>
      <w:contextualSpacing/>
      <w:jc w:val="left"/>
    </w:pPr>
    <w:rPr>
      <w:sz w:val="28"/>
    </w:rPr>
  </w:style>
  <w:style w:type="paragraph" w:customStyle="1" w:styleId="ListNumber4Level4">
    <w:name w:val="List Number 4 (Level 4)"/>
    <w:basedOn w:val="Text4"/>
    <w:uiPriority w:val="1"/>
    <w:semiHidden/>
    <w:unhideWhenUsed/>
    <w:pPr>
      <w:numPr>
        <w:ilvl w:val="3"/>
        <w:numId w:val="14"/>
      </w:numPr>
    </w:pPr>
  </w:style>
  <w:style w:type="paragraph" w:customStyle="1" w:styleId="ListNumber4Level3">
    <w:name w:val="List Number 4 (Level 3)"/>
    <w:basedOn w:val="Text4"/>
    <w:uiPriority w:val="1"/>
    <w:semiHidden/>
    <w:unhideWhenUsed/>
    <w:pPr>
      <w:numPr>
        <w:ilvl w:val="2"/>
        <w:numId w:val="14"/>
      </w:numPr>
    </w:pPr>
  </w:style>
  <w:style w:type="paragraph" w:customStyle="1" w:styleId="ListNumber4Level2">
    <w:name w:val="List Number 4 (Level 2)"/>
    <w:basedOn w:val="Text4"/>
    <w:uiPriority w:val="1"/>
    <w:pPr>
      <w:numPr>
        <w:ilvl w:val="1"/>
        <w:numId w:val="14"/>
      </w:numPr>
    </w:pPr>
  </w:style>
  <w:style w:type="paragraph" w:styleId="ListNumber4">
    <w:name w:val="List Number 4"/>
    <w:basedOn w:val="Text4"/>
    <w:uiPriority w:val="1"/>
    <w:pPr>
      <w:numPr>
        <w:numId w:val="14"/>
      </w:numPr>
    </w:pPr>
  </w:style>
  <w:style w:type="paragraph" w:customStyle="1" w:styleId="ListNumber3Level4">
    <w:name w:val="List Number 3 (Level 4)"/>
    <w:basedOn w:val="Text3"/>
    <w:uiPriority w:val="1"/>
    <w:semiHidden/>
    <w:unhideWhenUsed/>
    <w:pPr>
      <w:numPr>
        <w:ilvl w:val="3"/>
        <w:numId w:val="13"/>
      </w:numPr>
    </w:pPr>
  </w:style>
  <w:style w:type="paragraph" w:customStyle="1" w:styleId="ListNumber3Level3">
    <w:name w:val="List Number 3 (Level 3)"/>
    <w:basedOn w:val="Text3"/>
    <w:uiPriority w:val="1"/>
    <w:semiHidden/>
    <w:unhideWhenUsed/>
    <w:pPr>
      <w:numPr>
        <w:ilvl w:val="2"/>
        <w:numId w:val="13"/>
      </w:numPr>
    </w:pPr>
  </w:style>
  <w:style w:type="paragraph" w:customStyle="1" w:styleId="ListNumber3Level2">
    <w:name w:val="List Number 3 (Level 2)"/>
    <w:basedOn w:val="Text3"/>
    <w:uiPriority w:val="1"/>
    <w:pPr>
      <w:numPr>
        <w:ilvl w:val="1"/>
        <w:numId w:val="13"/>
      </w:numPr>
    </w:pPr>
  </w:style>
  <w:style w:type="paragraph" w:styleId="ListNumber3">
    <w:name w:val="List Number 3"/>
    <w:basedOn w:val="Text3"/>
    <w:uiPriority w:val="1"/>
    <w:pPr>
      <w:numPr>
        <w:numId w:val="13"/>
      </w:numPr>
    </w:pPr>
  </w:style>
  <w:style w:type="paragraph" w:customStyle="1" w:styleId="ListNumber2Level4">
    <w:name w:val="List Number 2 (Level 4)"/>
    <w:basedOn w:val="Text2"/>
    <w:uiPriority w:val="1"/>
    <w:semiHidden/>
    <w:unhideWhenUsed/>
    <w:pPr>
      <w:numPr>
        <w:ilvl w:val="3"/>
        <w:numId w:val="12"/>
      </w:numPr>
    </w:pPr>
  </w:style>
  <w:style w:type="paragraph" w:customStyle="1" w:styleId="ListNumber2Level3">
    <w:name w:val="List Number 2 (Level 3)"/>
    <w:basedOn w:val="Text2"/>
    <w:uiPriority w:val="1"/>
    <w:semiHidden/>
    <w:unhideWhenUsed/>
    <w:pPr>
      <w:numPr>
        <w:ilvl w:val="2"/>
        <w:numId w:val="12"/>
      </w:numPr>
    </w:pPr>
  </w:style>
  <w:style w:type="paragraph" w:customStyle="1" w:styleId="ListNumber2Level2">
    <w:name w:val="List Number 2 (Level 2)"/>
    <w:basedOn w:val="Text2"/>
    <w:uiPriority w:val="1"/>
    <w:pPr>
      <w:numPr>
        <w:ilvl w:val="1"/>
        <w:numId w:val="12"/>
      </w:numPr>
    </w:pPr>
  </w:style>
  <w:style w:type="paragraph" w:styleId="ListNumber2">
    <w:name w:val="List Number 2"/>
    <w:basedOn w:val="Text2"/>
    <w:uiPriority w:val="1"/>
    <w:pPr>
      <w:numPr>
        <w:numId w:val="12"/>
      </w:numPr>
    </w:pPr>
  </w:style>
  <w:style w:type="paragraph" w:customStyle="1" w:styleId="ListNumber1Level4">
    <w:name w:val="List Number 1 (Level 4)"/>
    <w:basedOn w:val="Text1"/>
    <w:uiPriority w:val="1"/>
    <w:semiHidden/>
    <w:unhideWhenUsed/>
    <w:pPr>
      <w:numPr>
        <w:ilvl w:val="3"/>
        <w:numId w:val="11"/>
      </w:numPr>
    </w:pPr>
  </w:style>
  <w:style w:type="paragraph" w:customStyle="1" w:styleId="ListNumber1Level3">
    <w:name w:val="List Number 1 (Level 3)"/>
    <w:basedOn w:val="Text1"/>
    <w:uiPriority w:val="1"/>
    <w:semiHidden/>
    <w:unhideWhenUsed/>
    <w:pPr>
      <w:numPr>
        <w:ilvl w:val="2"/>
        <w:numId w:val="11"/>
      </w:numPr>
    </w:pPr>
  </w:style>
  <w:style w:type="paragraph" w:customStyle="1" w:styleId="ListNumber1Level2">
    <w:name w:val="List Number 1 (Level 2)"/>
    <w:basedOn w:val="Text1"/>
    <w:uiPriority w:val="1"/>
    <w:pPr>
      <w:numPr>
        <w:ilvl w:val="1"/>
        <w:numId w:val="11"/>
      </w:numPr>
    </w:pPr>
  </w:style>
  <w:style w:type="paragraph" w:customStyle="1" w:styleId="ListNumber1">
    <w:name w:val="List Number 1"/>
    <w:basedOn w:val="Text1"/>
    <w:uiPriority w:val="1"/>
    <w:pPr>
      <w:numPr>
        <w:numId w:val="11"/>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2">
    <w:name w:val="List Number (Level 2)"/>
    <w:basedOn w:val="Normal"/>
    <w:uiPriority w:val="1"/>
    <w:pPr>
      <w:numPr>
        <w:ilvl w:val="1"/>
        <w:numId w:val="10"/>
      </w:numPr>
    </w:pPr>
  </w:style>
  <w:style w:type="paragraph" w:styleId="ListNumber">
    <w:name w:val="List Number"/>
    <w:basedOn w:val="Normal"/>
    <w:uiPriority w:val="1"/>
    <w:pPr>
      <w:numPr>
        <w:numId w:val="10"/>
      </w:numPr>
    </w:pPr>
  </w:style>
  <w:style w:type="paragraph" w:customStyle="1" w:styleId="ListDash4Level4">
    <w:name w:val="List Dash 4 (Level 4)"/>
    <w:basedOn w:val="Text4"/>
    <w:uiPriority w:val="1"/>
    <w:semiHidden/>
    <w:unhideWhenUsed/>
    <w:pPr>
      <w:numPr>
        <w:ilvl w:val="3"/>
        <w:numId w:val="19"/>
      </w:numPr>
    </w:pPr>
  </w:style>
  <w:style w:type="paragraph" w:customStyle="1" w:styleId="ListDash4Level3">
    <w:name w:val="List Dash 4 (Level 3)"/>
    <w:basedOn w:val="Text4"/>
    <w:uiPriority w:val="1"/>
    <w:semiHidden/>
    <w:unhideWhenUsed/>
    <w:pPr>
      <w:numPr>
        <w:ilvl w:val="2"/>
        <w:numId w:val="19"/>
      </w:numPr>
    </w:pPr>
  </w:style>
  <w:style w:type="paragraph" w:customStyle="1" w:styleId="ListDash4Level2">
    <w:name w:val="List Dash 4 (Level 2)"/>
    <w:basedOn w:val="Text4"/>
    <w:uiPriority w:val="1"/>
    <w:pPr>
      <w:numPr>
        <w:ilvl w:val="1"/>
        <w:numId w:val="19"/>
      </w:numPr>
    </w:pPr>
  </w:style>
  <w:style w:type="paragraph" w:customStyle="1" w:styleId="ListDash4">
    <w:name w:val="List Dash 4"/>
    <w:basedOn w:val="Text4"/>
    <w:uiPriority w:val="1"/>
    <w:pPr>
      <w:numPr>
        <w:numId w:val="19"/>
      </w:numPr>
    </w:pPr>
  </w:style>
  <w:style w:type="paragraph" w:customStyle="1" w:styleId="ListDash3Level4">
    <w:name w:val="List Dash 3 (Level 4)"/>
    <w:basedOn w:val="Text3"/>
    <w:uiPriority w:val="1"/>
    <w:semiHidden/>
    <w:unhideWhenUsed/>
    <w:pPr>
      <w:numPr>
        <w:ilvl w:val="3"/>
        <w:numId w:val="18"/>
      </w:numPr>
    </w:pPr>
  </w:style>
  <w:style w:type="paragraph" w:customStyle="1" w:styleId="ListDash3Level3">
    <w:name w:val="List Dash 3 (Level 3)"/>
    <w:basedOn w:val="Text3"/>
    <w:uiPriority w:val="1"/>
    <w:semiHidden/>
    <w:unhideWhenUsed/>
    <w:pPr>
      <w:numPr>
        <w:ilvl w:val="2"/>
        <w:numId w:val="18"/>
      </w:numPr>
    </w:pPr>
  </w:style>
  <w:style w:type="paragraph" w:customStyle="1" w:styleId="ListDash3Level2">
    <w:name w:val="List Dash 3 (Level 2)"/>
    <w:basedOn w:val="Text3"/>
    <w:uiPriority w:val="1"/>
    <w:pPr>
      <w:numPr>
        <w:ilvl w:val="1"/>
        <w:numId w:val="18"/>
      </w:numPr>
    </w:pPr>
  </w:style>
  <w:style w:type="paragraph" w:customStyle="1" w:styleId="ListDash3">
    <w:name w:val="List Dash 3"/>
    <w:basedOn w:val="Text3"/>
    <w:uiPriority w:val="1"/>
    <w:pPr>
      <w:numPr>
        <w:numId w:val="18"/>
      </w:numPr>
    </w:pPr>
  </w:style>
  <w:style w:type="paragraph" w:customStyle="1" w:styleId="ListDash2Level4">
    <w:name w:val="List Dash 2 (Level 4)"/>
    <w:basedOn w:val="Text2"/>
    <w:uiPriority w:val="1"/>
    <w:semiHidden/>
    <w:unhideWhenUsed/>
    <w:pPr>
      <w:numPr>
        <w:ilvl w:val="3"/>
        <w:numId w:val="17"/>
      </w:numPr>
    </w:pPr>
  </w:style>
  <w:style w:type="paragraph" w:customStyle="1" w:styleId="ListDash2Level3">
    <w:name w:val="List Dash 2 (Level 3)"/>
    <w:basedOn w:val="Text2"/>
    <w:uiPriority w:val="1"/>
    <w:semiHidden/>
    <w:unhideWhenUsed/>
    <w:pPr>
      <w:numPr>
        <w:ilvl w:val="2"/>
        <w:numId w:val="17"/>
      </w:numPr>
    </w:pPr>
  </w:style>
  <w:style w:type="paragraph" w:customStyle="1" w:styleId="ListDash2Level2">
    <w:name w:val="List Dash 2 (Level 2)"/>
    <w:basedOn w:val="Text2"/>
    <w:uiPriority w:val="1"/>
    <w:pPr>
      <w:numPr>
        <w:ilvl w:val="1"/>
        <w:numId w:val="17"/>
      </w:numPr>
    </w:pPr>
  </w:style>
  <w:style w:type="paragraph" w:customStyle="1" w:styleId="ListDash2">
    <w:name w:val="List Dash 2"/>
    <w:basedOn w:val="Text2"/>
    <w:uiPriority w:val="1"/>
    <w:pPr>
      <w:numPr>
        <w:numId w:val="17"/>
      </w:numPr>
    </w:pPr>
  </w:style>
  <w:style w:type="paragraph" w:customStyle="1" w:styleId="ListDash1Level4">
    <w:name w:val="List Dash 1 (Level 4)"/>
    <w:basedOn w:val="Text1"/>
    <w:uiPriority w:val="1"/>
    <w:semiHidden/>
    <w:unhideWhenUsed/>
    <w:pPr>
      <w:numPr>
        <w:ilvl w:val="3"/>
        <w:numId w:val="16"/>
      </w:numPr>
    </w:pPr>
  </w:style>
  <w:style w:type="paragraph" w:customStyle="1" w:styleId="ListDash1Level3">
    <w:name w:val="List Dash 1 (Level 3)"/>
    <w:basedOn w:val="Text1"/>
    <w:uiPriority w:val="1"/>
    <w:semiHidden/>
    <w:unhideWhenUsed/>
    <w:pPr>
      <w:numPr>
        <w:ilvl w:val="2"/>
        <w:numId w:val="16"/>
      </w:numPr>
    </w:pPr>
  </w:style>
  <w:style w:type="paragraph" w:customStyle="1" w:styleId="ListDash1Level2">
    <w:name w:val="List Dash 1 (Level 2)"/>
    <w:basedOn w:val="Text1"/>
    <w:uiPriority w:val="1"/>
    <w:pPr>
      <w:numPr>
        <w:ilvl w:val="1"/>
        <w:numId w:val="16"/>
      </w:numPr>
    </w:pPr>
  </w:style>
  <w:style w:type="paragraph" w:customStyle="1" w:styleId="ListDash1">
    <w:name w:val="List Dash 1"/>
    <w:basedOn w:val="Text1"/>
    <w:uiPriority w:val="1"/>
    <w:pPr>
      <w:numPr>
        <w:numId w:val="16"/>
      </w:numPr>
    </w:pPr>
  </w:style>
  <w:style w:type="paragraph" w:customStyle="1" w:styleId="ListDashLevel4">
    <w:name w:val="List Dash (Level 4)"/>
    <w:basedOn w:val="Normal"/>
    <w:uiPriority w:val="1"/>
    <w:semiHidden/>
    <w:unhideWhenUsed/>
    <w:pPr>
      <w:numPr>
        <w:ilvl w:val="3"/>
        <w:numId w:val="15"/>
      </w:numPr>
    </w:pPr>
  </w:style>
  <w:style w:type="paragraph" w:customStyle="1" w:styleId="ListDashLevel3">
    <w:name w:val="List Dash (Level 3)"/>
    <w:basedOn w:val="Normal"/>
    <w:uiPriority w:val="1"/>
    <w:semiHidden/>
    <w:unhideWhenUsed/>
    <w:pPr>
      <w:numPr>
        <w:ilvl w:val="2"/>
        <w:numId w:val="15"/>
      </w:numPr>
    </w:pPr>
  </w:style>
  <w:style w:type="paragraph" w:customStyle="1" w:styleId="ListDashLevel2">
    <w:name w:val="List Dash (Level 2)"/>
    <w:basedOn w:val="Normal"/>
    <w:uiPriority w:val="1"/>
    <w:pPr>
      <w:numPr>
        <w:ilvl w:val="1"/>
        <w:numId w:val="15"/>
      </w:numPr>
    </w:pPr>
  </w:style>
  <w:style w:type="paragraph" w:customStyle="1" w:styleId="ListDash">
    <w:name w:val="List Dash"/>
    <w:basedOn w:val="Normal"/>
    <w:uiPriority w:val="1"/>
    <w:pPr>
      <w:numPr>
        <w:numId w:val="15"/>
      </w:numPr>
    </w:pPr>
  </w:style>
  <w:style w:type="paragraph" w:customStyle="1" w:styleId="ListBullet4Level4">
    <w:name w:val="List Bullet 4 (Level 4)"/>
    <w:basedOn w:val="Text4"/>
    <w:uiPriority w:val="1"/>
    <w:semiHidden/>
    <w:unhideWhenUsed/>
    <w:pPr>
      <w:numPr>
        <w:ilvl w:val="3"/>
        <w:numId w:val="9"/>
      </w:numPr>
    </w:pPr>
  </w:style>
  <w:style w:type="paragraph" w:customStyle="1" w:styleId="ListBullet4Level3">
    <w:name w:val="List Bullet 4 (Level 3)"/>
    <w:basedOn w:val="Text4"/>
    <w:uiPriority w:val="1"/>
    <w:semiHidden/>
    <w:unhideWhenUsed/>
    <w:pPr>
      <w:numPr>
        <w:ilvl w:val="2"/>
        <w:numId w:val="9"/>
      </w:numPr>
    </w:pPr>
  </w:style>
  <w:style w:type="paragraph" w:customStyle="1" w:styleId="ListBullet4Level2">
    <w:name w:val="List Bullet 4 (Level 2)"/>
    <w:basedOn w:val="Text4"/>
    <w:uiPriority w:val="1"/>
    <w:pPr>
      <w:numPr>
        <w:ilvl w:val="1"/>
        <w:numId w:val="9"/>
      </w:numPr>
    </w:pPr>
  </w:style>
  <w:style w:type="paragraph" w:styleId="ListBullet4">
    <w:name w:val="List Bullet 4"/>
    <w:basedOn w:val="Text4"/>
    <w:uiPriority w:val="1"/>
    <w:pPr>
      <w:numPr>
        <w:numId w:val="9"/>
      </w:numPr>
    </w:pPr>
  </w:style>
  <w:style w:type="paragraph" w:customStyle="1" w:styleId="ListBullet3Level4">
    <w:name w:val="List Bullet 3 (Level 4)"/>
    <w:basedOn w:val="Text3"/>
    <w:uiPriority w:val="1"/>
    <w:semiHidden/>
    <w:unhideWhenUsed/>
    <w:pPr>
      <w:numPr>
        <w:ilvl w:val="3"/>
        <w:numId w:val="8"/>
      </w:numPr>
    </w:pPr>
  </w:style>
  <w:style w:type="paragraph" w:customStyle="1" w:styleId="ListBullet3Level3">
    <w:name w:val="List Bullet 3 (Level 3)"/>
    <w:basedOn w:val="Text3"/>
    <w:uiPriority w:val="1"/>
    <w:semiHidden/>
    <w:unhideWhenUsed/>
    <w:pPr>
      <w:numPr>
        <w:ilvl w:val="2"/>
        <w:numId w:val="8"/>
      </w:numPr>
    </w:pPr>
  </w:style>
  <w:style w:type="paragraph" w:customStyle="1" w:styleId="ListBullet3Level2">
    <w:name w:val="List Bullet 3 (Level 2)"/>
    <w:basedOn w:val="Text3"/>
    <w:uiPriority w:val="1"/>
    <w:pPr>
      <w:numPr>
        <w:ilvl w:val="1"/>
        <w:numId w:val="8"/>
      </w:numPr>
    </w:pPr>
  </w:style>
  <w:style w:type="paragraph" w:styleId="ListBullet3">
    <w:name w:val="List Bullet 3"/>
    <w:basedOn w:val="Text3"/>
    <w:uiPriority w:val="1"/>
    <w:pPr>
      <w:numPr>
        <w:numId w:val="8"/>
      </w:numPr>
    </w:pPr>
  </w:style>
  <w:style w:type="paragraph" w:customStyle="1" w:styleId="ListBullet2Level4">
    <w:name w:val="List Bullet 2 (Level 4)"/>
    <w:basedOn w:val="Text2"/>
    <w:uiPriority w:val="1"/>
    <w:semiHidden/>
    <w:unhideWhenUsed/>
    <w:pPr>
      <w:numPr>
        <w:ilvl w:val="3"/>
        <w:numId w:val="7"/>
      </w:numPr>
    </w:pPr>
  </w:style>
  <w:style w:type="paragraph" w:customStyle="1" w:styleId="ListBullet2Level3">
    <w:name w:val="List Bullet 2 (Level 3)"/>
    <w:basedOn w:val="Text2"/>
    <w:uiPriority w:val="1"/>
    <w:semiHidden/>
    <w:unhideWhenUsed/>
    <w:pPr>
      <w:numPr>
        <w:ilvl w:val="2"/>
        <w:numId w:val="7"/>
      </w:numPr>
    </w:pPr>
  </w:style>
  <w:style w:type="paragraph" w:customStyle="1" w:styleId="ListBullet2Level2">
    <w:name w:val="List Bullet 2 (Level 2)"/>
    <w:basedOn w:val="Text2"/>
    <w:uiPriority w:val="1"/>
    <w:pPr>
      <w:numPr>
        <w:ilvl w:val="1"/>
        <w:numId w:val="7"/>
      </w:numPr>
    </w:pPr>
  </w:style>
  <w:style w:type="paragraph" w:styleId="ListBullet2">
    <w:name w:val="List Bullet 2"/>
    <w:basedOn w:val="Text2"/>
    <w:uiPriority w:val="1"/>
    <w:pPr>
      <w:numPr>
        <w:numId w:val="7"/>
      </w:numPr>
    </w:pPr>
  </w:style>
  <w:style w:type="paragraph" w:customStyle="1" w:styleId="ListBullet1Level4">
    <w:name w:val="List Bullet 1 (Level 4)"/>
    <w:basedOn w:val="Text1"/>
    <w:uiPriority w:val="1"/>
    <w:semiHidden/>
    <w:unhideWhenUsed/>
    <w:pPr>
      <w:numPr>
        <w:ilvl w:val="3"/>
        <w:numId w:val="6"/>
      </w:numPr>
    </w:pPr>
  </w:style>
  <w:style w:type="paragraph" w:customStyle="1" w:styleId="ListBullet1Level3">
    <w:name w:val="List Bullet 1 (Level 3)"/>
    <w:basedOn w:val="Text1"/>
    <w:uiPriority w:val="1"/>
    <w:semiHidden/>
    <w:unhideWhenUsed/>
    <w:pPr>
      <w:numPr>
        <w:ilvl w:val="2"/>
        <w:numId w:val="6"/>
      </w:numPr>
    </w:pPr>
  </w:style>
  <w:style w:type="paragraph" w:customStyle="1" w:styleId="ListBullet1Level2">
    <w:name w:val="List Bullet 1 (Level 2)"/>
    <w:basedOn w:val="Text1"/>
    <w:uiPriority w:val="1"/>
    <w:pPr>
      <w:numPr>
        <w:ilvl w:val="1"/>
        <w:numId w:val="6"/>
      </w:numPr>
    </w:pPr>
  </w:style>
  <w:style w:type="paragraph" w:customStyle="1" w:styleId="ListBullet1">
    <w:name w:val="List Bullet 1"/>
    <w:basedOn w:val="Text1"/>
    <w:uiPriority w:val="1"/>
    <w:pPr>
      <w:numPr>
        <w:numId w:val="6"/>
      </w:numPr>
    </w:pPr>
  </w:style>
  <w:style w:type="paragraph" w:customStyle="1" w:styleId="ListBulletLevel4">
    <w:name w:val="List Bullet (Level 4)"/>
    <w:basedOn w:val="Text1"/>
    <w:uiPriority w:val="1"/>
    <w:semiHidden/>
    <w:unhideWhenUsed/>
    <w:pPr>
      <w:numPr>
        <w:ilvl w:val="3"/>
        <w:numId w:val="5"/>
      </w:numPr>
    </w:pPr>
  </w:style>
  <w:style w:type="paragraph" w:customStyle="1" w:styleId="ListBulletLevel3">
    <w:name w:val="List Bullet (Level 3)"/>
    <w:basedOn w:val="Text1"/>
    <w:uiPriority w:val="1"/>
    <w:semiHidden/>
    <w:unhideWhenUsed/>
    <w:pPr>
      <w:numPr>
        <w:ilvl w:val="2"/>
        <w:numId w:val="5"/>
      </w:numPr>
    </w:pPr>
  </w:style>
  <w:style w:type="paragraph" w:customStyle="1" w:styleId="ListBulletLevel2">
    <w:name w:val="List Bullet (Level 2)"/>
    <w:basedOn w:val="Text1"/>
    <w:uiPriority w:val="1"/>
    <w:pPr>
      <w:numPr>
        <w:ilvl w:val="1"/>
        <w:numId w:val="5"/>
      </w:numPr>
    </w:pPr>
  </w:style>
  <w:style w:type="paragraph" w:styleId="ListBullet">
    <w:name w:val="List Bullet"/>
    <w:basedOn w:val="Normal"/>
    <w:uiPriority w:val="1"/>
    <w:pPr>
      <w:numPr>
        <w:numId w:val="5"/>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1"/>
    <w:qFormat/>
    <w:pPr>
      <w:pageBreakBefore/>
      <w:numPr>
        <w:numId w:val="1"/>
      </w:numPr>
      <w:spacing w:after="480"/>
      <w:outlineLvl w:val="0"/>
    </w:pPr>
    <w:rPr>
      <w:b/>
      <w:sz w:val="32"/>
    </w:rPr>
  </w:style>
  <w:style w:type="paragraph" w:styleId="Title">
    <w:name w:val="Title"/>
    <w:basedOn w:val="Normal"/>
    <w:next w:val="Normal"/>
    <w:link w:val="TitleChar"/>
    <w:uiPriority w:val="10"/>
    <w:qFormat/>
    <w:pPr>
      <w:spacing w:after="480"/>
      <w:jc w:val="center"/>
    </w:pPr>
    <w:rPr>
      <w:b/>
      <w:kern w:val="28"/>
      <w:sz w:val="48"/>
    </w:rPr>
  </w:style>
  <w:style w:type="paragraph" w:customStyle="1" w:styleId="NumPar4">
    <w:name w:val="NumPar 4"/>
    <w:basedOn w:val="Heading4"/>
    <w:uiPriority w:val="1"/>
    <w:qFormat/>
    <w:pPr>
      <w:keepNext w:val="0"/>
      <w:outlineLvl w:val="9"/>
    </w:pPr>
  </w:style>
  <w:style w:type="paragraph" w:customStyle="1" w:styleId="NumPar3">
    <w:name w:val="NumPar 3"/>
    <w:basedOn w:val="Heading3"/>
    <w:uiPriority w:val="1"/>
    <w:qFormat/>
    <w:pPr>
      <w:keepNext w:val="0"/>
      <w:outlineLvl w:val="9"/>
    </w:pPr>
    <w:rPr>
      <w:i w:val="0"/>
    </w:rPr>
  </w:style>
  <w:style w:type="paragraph" w:customStyle="1" w:styleId="NumPar2">
    <w:name w:val="NumPar 2"/>
    <w:basedOn w:val="Heading2"/>
    <w:uiPriority w:val="1"/>
    <w:qFormat/>
    <w:pPr>
      <w:keepNext w:val="0"/>
      <w:outlineLvl w:val="9"/>
    </w:pPr>
    <w:rPr>
      <w:b w:val="0"/>
    </w:rPr>
  </w:style>
  <w:style w:type="paragraph" w:customStyle="1" w:styleId="NumPar1">
    <w:name w:val="NumPar 1"/>
    <w:basedOn w:val="Heading1"/>
    <w:uiPriority w:val="1"/>
    <w:qFormat/>
    <w:pPr>
      <w:keepNext w:val="0"/>
      <w:spacing w:before="0"/>
      <w:outlineLvl w:val="9"/>
    </w:pPr>
    <w:rPr>
      <w:b w:val="0"/>
      <w:smallCaps w:val="0"/>
    </w:r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Footnote Text Char2 Char,o"/>
    <w:basedOn w:val="Normal"/>
    <w:link w:val="FootnoteTextChar"/>
    <w:uiPriority w:val="99"/>
    <w:unhideWhenUsed/>
    <w:qFormat/>
    <w:rsid w:val="002F67B6"/>
    <w:pPr>
      <w:spacing w:after="0"/>
      <w:ind w:left="357" w:hanging="357"/>
    </w:pPr>
    <w:rPr>
      <w:sz w:val="20"/>
    </w:rPr>
  </w:style>
  <w:style w:type="paragraph" w:customStyle="1" w:styleId="FooterLine">
    <w:name w:val="Footer Line"/>
    <w:basedOn w:val="Footer"/>
    <w:next w:val="Footer"/>
    <w:uiPriority w:val="2"/>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paragraph" w:styleId="EndnoteText">
    <w:name w:val="endnote text"/>
    <w:basedOn w:val="Normal"/>
    <w:semiHidden/>
    <w:unhideWhenUsed/>
    <w:rPr>
      <w:sz w:val="20"/>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RUE">
    <w:name w:val="RUE"/>
    <w:basedOn w:val="Normal"/>
    <w:semiHidden/>
    <w:pPr>
      <w:spacing w:after="0"/>
      <w:jc w:val="center"/>
    </w:pPr>
    <w:rPr>
      <w:b/>
      <w:caps/>
      <w:sz w:val="32"/>
      <w:bdr w:val="single" w:sz="18" w:space="0" w:color="auto"/>
    </w:rPr>
  </w:style>
  <w:style w:type="paragraph" w:customStyle="1" w:styleId="Releasable">
    <w:name w:val="Releasable"/>
    <w:basedOn w:val="Normal"/>
    <w:semiHidden/>
    <w:pPr>
      <w:spacing w:after="0"/>
      <w:jc w:val="center"/>
    </w:pPr>
    <w:rPr>
      <w:b/>
      <w:caps/>
      <w:sz w:val="32"/>
    </w:rPr>
  </w:style>
  <w:style w:type="paragraph" w:customStyle="1" w:styleId="Designator">
    <w:name w:val="Designator"/>
    <w:basedOn w:val="Normal"/>
    <w:semiHidden/>
    <w:pPr>
      <w:spacing w:after="0"/>
      <w:jc w:val="center"/>
    </w:pPr>
    <w:rPr>
      <w:b/>
      <w:caps/>
      <w:sz w:val="32"/>
    </w:rPr>
  </w:style>
  <w:style w:type="paragraph" w:customStyle="1" w:styleId="References">
    <w:name w:val="References"/>
    <w:basedOn w:val="Normal"/>
    <w:uiPriority w:val="1"/>
    <w:pPr>
      <w:ind w:left="5102" w:right="-567"/>
      <w:contextualSpacing/>
      <w:jc w:val="left"/>
    </w:pPr>
    <w:rPr>
      <w:sz w:val="20"/>
    </w:rPr>
  </w:style>
  <w:style w:type="paragraph" w:styleId="Date">
    <w:name w:val="Date"/>
    <w:basedOn w:val="Normal"/>
    <w:next w:val="References"/>
    <w:uiPriority w:val="1"/>
    <w:pPr>
      <w:spacing w:after="0"/>
      <w:ind w:left="5102" w:right="-567"/>
      <w:jc w:val="left"/>
    </w:pPr>
  </w:style>
  <w:style w:type="paragraph" w:customStyle="1" w:styleId="Contact">
    <w:name w:val="Contact"/>
    <w:basedOn w:val="Normal"/>
    <w:uiPriority w:val="1"/>
    <w:pPr>
      <w:spacing w:before="480" w:after="0"/>
      <w:ind w:left="567" w:hanging="567"/>
      <w:contextualSpacing/>
      <w:jc w:val="left"/>
    </w:pPr>
  </w:style>
  <w:style w:type="paragraph" w:styleId="Caption">
    <w:name w:val="caption"/>
    <w:basedOn w:val="Normal"/>
    <w:next w:val="Normal"/>
    <w:semiHidden/>
    <w:pPr>
      <w:spacing w:before="160"/>
    </w:pPr>
    <w:rPr>
      <w:i/>
      <w:sz w:val="22"/>
    </w:rPr>
  </w:style>
  <w:style w:type="paragraph" w:customStyle="1" w:styleId="ZDGName">
    <w:name w:val="Z_DGName"/>
    <w:basedOn w:val="Normal"/>
    <w:uiPriority w:val="2"/>
    <w:pPr>
      <w:widowControl w:val="0"/>
      <w:spacing w:after="0"/>
      <w:ind w:right="85"/>
      <w:jc w:val="left"/>
    </w:pPr>
    <w:rPr>
      <w:sz w:val="16"/>
    </w:rPr>
  </w:style>
  <w:style w:type="paragraph" w:customStyle="1" w:styleId="ZCom">
    <w:name w:val="Z_Com"/>
    <w:basedOn w:val="Normal"/>
    <w:next w:val="Normal"/>
    <w:uiPriority w:val="2"/>
    <w:pPr>
      <w:widowControl w:val="0"/>
      <w:spacing w:before="90" w:after="0"/>
      <w:ind w:right="85"/>
    </w:pPr>
  </w:style>
  <w:style w:type="paragraph" w:customStyle="1" w:styleId="ZFlag">
    <w:name w:val="Z_Flag"/>
    <w:basedOn w:val="Normal"/>
    <w:next w:val="Normal"/>
    <w:uiPriority w:val="2"/>
    <w:pPr>
      <w:widowControl w:val="0"/>
      <w:spacing w:after="0"/>
      <w:ind w:right="85"/>
    </w:p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TableLetterhead">
    <w:name w:val="Table Letterhead"/>
    <w:basedOn w:val="TableNormal"/>
    <w:semiHidden/>
    <w:tblPr>
      <w:tblCellMar>
        <w:left w:w="0" w:type="dxa"/>
        <w:bottom w:w="340" w:type="dxa"/>
        <w:right w:w="0" w:type="dxa"/>
      </w:tblCellMar>
    </w:tblPr>
  </w:style>
  <w:style w:type="paragraph" w:styleId="BalloonText">
    <w:name w:val="Balloon Text"/>
    <w:basedOn w:val="Normal"/>
    <w:link w:val="BalloonTextChar"/>
    <w:uiPriority w:val="99"/>
    <w:semiHidden/>
    <w:locked/>
    <w:rsid w:val="00B5178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782"/>
    <w:rPr>
      <w:rFonts w:ascii="Segoe UI" w:hAnsi="Segoe UI" w:cs="Segoe UI"/>
      <w:sz w:val="18"/>
      <w:szCs w:val="18"/>
    </w:rPr>
  </w:style>
  <w:style w:type="character" w:customStyle="1" w:styleId="Marker">
    <w:name w:val="Marker"/>
    <w:basedOn w:val="DefaultParagraphFont"/>
    <w:rsid w:val="000830E3"/>
    <w:rPr>
      <w:color w:val="0000FF"/>
      <w:shd w:val="clear" w:color="auto" w:fill="auto"/>
    </w:rPr>
  </w:style>
  <w:style w:type="paragraph" w:customStyle="1" w:styleId="Pagedecouverture">
    <w:name w:val="Page de couverture"/>
    <w:basedOn w:val="Normal"/>
    <w:next w:val="Normal"/>
    <w:rsid w:val="000830E3"/>
    <w:pPr>
      <w:spacing w:after="0"/>
    </w:pPr>
    <w:rPr>
      <w:rFonts w:eastAsiaTheme="minorHAnsi"/>
      <w:szCs w:val="22"/>
      <w:lang w:eastAsia="en-US"/>
    </w:rPr>
  </w:style>
  <w:style w:type="paragraph" w:customStyle="1" w:styleId="FooterCoverPage">
    <w:name w:val="Footer Cover Page"/>
    <w:basedOn w:val="Normal"/>
    <w:link w:val="FooterCoverPageChar"/>
    <w:rsid w:val="000830E3"/>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0830E3"/>
  </w:style>
  <w:style w:type="paragraph" w:customStyle="1" w:styleId="FooterSensitivity">
    <w:name w:val="Footer Sensitivity"/>
    <w:basedOn w:val="Normal"/>
    <w:link w:val="FooterSensitivityChar"/>
    <w:rsid w:val="000830E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0830E3"/>
    <w:rPr>
      <w:b/>
      <w:sz w:val="32"/>
    </w:rPr>
  </w:style>
  <w:style w:type="paragraph" w:customStyle="1" w:styleId="HeaderCoverPage">
    <w:name w:val="Header Cover Page"/>
    <w:basedOn w:val="Normal"/>
    <w:link w:val="HeaderCoverPageChar"/>
    <w:rsid w:val="000830E3"/>
    <w:pPr>
      <w:tabs>
        <w:tab w:val="center" w:pos="4535"/>
        <w:tab w:val="right" w:pos="9071"/>
      </w:tabs>
      <w:spacing w:after="120"/>
    </w:pPr>
  </w:style>
  <w:style w:type="character" w:customStyle="1" w:styleId="HeaderCoverPageChar">
    <w:name w:val="Header Cover Page Char"/>
    <w:basedOn w:val="DefaultParagraphFont"/>
    <w:link w:val="HeaderCoverPage"/>
    <w:rsid w:val="000830E3"/>
  </w:style>
  <w:style w:type="paragraph" w:customStyle="1" w:styleId="HeaderSensitivity">
    <w:name w:val="Header Sensitivity"/>
    <w:basedOn w:val="Normal"/>
    <w:link w:val="HeaderSensitivityChar"/>
    <w:rsid w:val="000830E3"/>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0830E3"/>
    <w:rPr>
      <w:b/>
      <w:sz w:val="32"/>
    </w:rPr>
  </w:style>
  <w:style w:type="paragraph" w:customStyle="1" w:styleId="HeaderSensitivityRight">
    <w:name w:val="Header Sensitivity Right"/>
    <w:basedOn w:val="Normal"/>
    <w:link w:val="HeaderSensitivityRightChar"/>
    <w:rsid w:val="000830E3"/>
    <w:pPr>
      <w:spacing w:after="120"/>
      <w:jc w:val="right"/>
    </w:pPr>
    <w:rPr>
      <w:sz w:val="28"/>
    </w:rPr>
  </w:style>
  <w:style w:type="character" w:customStyle="1" w:styleId="HeaderSensitivityRightChar">
    <w:name w:val="Header Sensitivity Right Char"/>
    <w:basedOn w:val="DefaultParagraphFont"/>
    <w:link w:val="HeaderSensitivityRight"/>
    <w:rsid w:val="000830E3"/>
    <w:rPr>
      <w:sz w:val="28"/>
    </w:rPr>
  </w:style>
  <w:style w:type="character" w:customStyle="1" w:styleId="FooterChar">
    <w:name w:val="Footer Char"/>
    <w:basedOn w:val="DefaultParagraphFont"/>
    <w:link w:val="Footer"/>
    <w:uiPriority w:val="99"/>
    <w:rsid w:val="000830E3"/>
    <w:rPr>
      <w:sz w:val="16"/>
    </w:rPr>
  </w:style>
  <w:style w:type="paragraph" w:customStyle="1" w:styleId="Languesfaisantfoi">
    <w:name w:val="Langues faisant foi"/>
    <w:basedOn w:val="Normal"/>
    <w:next w:val="Normal"/>
    <w:rsid w:val="00504968"/>
    <w:pPr>
      <w:spacing w:before="36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504968"/>
    <w:pPr>
      <w:spacing w:before="360"/>
      <w:jc w:val="center"/>
    </w:pPr>
    <w:rPr>
      <w:rFonts w:eastAsiaTheme="minorHAnsi"/>
      <w:szCs w:val="22"/>
      <w:lang w:eastAsia="en-US"/>
    </w:rPr>
  </w:style>
  <w:style w:type="paragraph" w:customStyle="1" w:styleId="IntrtEEE">
    <w:name w:val="Intérêt EEE"/>
    <w:basedOn w:val="Languesfaisantfoi"/>
    <w:next w:val="Normal"/>
    <w:rsid w:val="00504968"/>
    <w:pPr>
      <w:spacing w:after="0"/>
    </w:pPr>
  </w:style>
  <w:style w:type="paragraph" w:customStyle="1" w:styleId="IntrtEEEPagedecouverture">
    <w:name w:val="Intérêt EEE (Page de couverture)"/>
    <w:basedOn w:val="IntrtEEE"/>
    <w:next w:val="Normal"/>
    <w:rsid w:val="00504968"/>
  </w:style>
  <w:style w:type="numbering" w:customStyle="1" w:styleId="NoList1">
    <w:name w:val="No List1"/>
    <w:next w:val="NoList"/>
    <w:uiPriority w:val="99"/>
    <w:semiHidden/>
    <w:unhideWhenUsed/>
    <w:rsid w:val="002F67B6"/>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o Char"/>
    <w:basedOn w:val="DefaultParagraphFont"/>
    <w:link w:val="FootnoteText"/>
    <w:uiPriority w:val="99"/>
    <w:qFormat/>
    <w:rsid w:val="002F67B6"/>
    <w:rPr>
      <w:sz w:val="20"/>
    </w:rPr>
  </w:style>
  <w:style w:type="character" w:styleId="CommentReference">
    <w:name w:val="annotation reference"/>
    <w:basedOn w:val="DefaultParagraphFont"/>
    <w:uiPriority w:val="99"/>
    <w:semiHidden/>
    <w:unhideWhenUsed/>
    <w:locked/>
    <w:rsid w:val="002F67B6"/>
    <w:rPr>
      <w:sz w:val="16"/>
      <w:szCs w:val="16"/>
    </w:rPr>
  </w:style>
  <w:style w:type="paragraph" w:styleId="CommentText">
    <w:name w:val="annotation text"/>
    <w:basedOn w:val="Normal"/>
    <w:link w:val="CommentTextChar"/>
    <w:uiPriority w:val="99"/>
    <w:unhideWhenUsed/>
    <w:locked/>
    <w:rsid w:val="002F67B6"/>
    <w:rPr>
      <w:rFonts w:eastAsiaTheme="minorHAnsi" w:cstheme="minorBidi"/>
      <w:sz w:val="20"/>
      <w:lang w:val="en-US" w:eastAsia="en-US"/>
    </w:rPr>
  </w:style>
  <w:style w:type="character" w:customStyle="1" w:styleId="CommentTextChar">
    <w:name w:val="Comment Text Char"/>
    <w:basedOn w:val="DefaultParagraphFont"/>
    <w:link w:val="CommentText"/>
    <w:uiPriority w:val="99"/>
    <w:rsid w:val="002F67B6"/>
    <w:rPr>
      <w:rFonts w:eastAsiaTheme="minorHAnsi" w:cstheme="minorBidi"/>
      <w:sz w:val="20"/>
      <w:lang w:val="en-US" w:eastAsia="en-US"/>
    </w:rPr>
  </w:style>
  <w:style w:type="character" w:styleId="FootnoteReference">
    <w:name w:val="footnote reference"/>
    <w:aliases w:val="Przypis,BVI fnr,SUPERS,Footnote symbol,(Footnote Reference),Footnote,Voetnootverwijzing,Times 10 Point,Exposant 3 Point,Footnote reference number,note TESI,Odwołanie przypisu,Footnote Reference Number,Footnote Reference_LVL6,fr,ftref"/>
    <w:basedOn w:val="DefaultParagraphFont"/>
    <w:link w:val="ftrefCharCharCharCharCharCharCharCharChar"/>
    <w:uiPriority w:val="99"/>
    <w:unhideWhenUsed/>
    <w:qFormat/>
    <w:locked/>
    <w:rsid w:val="002F67B6"/>
    <w:rPr>
      <w:vertAlign w:val="superscript"/>
    </w:rPr>
  </w:style>
  <w:style w:type="character" w:customStyle="1" w:styleId="TitleChar">
    <w:name w:val="Title Char"/>
    <w:basedOn w:val="DefaultParagraphFont"/>
    <w:link w:val="Title"/>
    <w:uiPriority w:val="10"/>
    <w:rsid w:val="002F67B6"/>
    <w:rPr>
      <w:b/>
      <w:kern w:val="28"/>
      <w:sz w:val="48"/>
    </w:rPr>
  </w:style>
  <w:style w:type="table" w:styleId="GridTable7Colorful-Accent6">
    <w:name w:val="Grid Table 7 Colorful Accent 6"/>
    <w:basedOn w:val="TableNormal"/>
    <w:uiPriority w:val="52"/>
    <w:locked/>
    <w:rsid w:val="002F67B6"/>
    <w:rPr>
      <w:rFonts w:asciiTheme="minorHAnsi" w:eastAsiaTheme="minorHAnsi" w:hAnsiTheme="minorHAnsi" w:cstheme="minorBidi"/>
      <w:color w:val="538135" w:themeColor="accent6" w:themeShade="BF"/>
      <w:sz w:val="22"/>
      <w:szCs w:val="22"/>
      <w:lang w:val="en-US"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eading1Char">
    <w:name w:val="Heading 1 Char"/>
    <w:basedOn w:val="DefaultParagraphFont"/>
    <w:link w:val="Heading1"/>
    <w:uiPriority w:val="9"/>
    <w:rsid w:val="002F67B6"/>
    <w:rPr>
      <w:b/>
      <w:smallCaps/>
    </w:rPr>
  </w:style>
  <w:style w:type="character" w:customStyle="1" w:styleId="Heading2Char">
    <w:name w:val="Heading 2 Char"/>
    <w:basedOn w:val="DefaultParagraphFont"/>
    <w:link w:val="Heading2"/>
    <w:uiPriority w:val="9"/>
    <w:rsid w:val="002F67B6"/>
    <w:rPr>
      <w:b/>
    </w:rPr>
  </w:style>
  <w:style w:type="character" w:customStyle="1" w:styleId="Heading3Char">
    <w:name w:val="Heading 3 Char"/>
    <w:basedOn w:val="DefaultParagraphFont"/>
    <w:link w:val="Heading3"/>
    <w:uiPriority w:val="9"/>
    <w:rsid w:val="002F67B6"/>
    <w:rPr>
      <w:i/>
    </w:rPr>
  </w:style>
  <w:style w:type="character" w:customStyle="1" w:styleId="Heading4Char">
    <w:name w:val="Heading 4 Char"/>
    <w:basedOn w:val="DefaultParagraphFont"/>
    <w:link w:val="Heading4"/>
    <w:uiPriority w:val="9"/>
    <w:rsid w:val="002F67B6"/>
  </w:style>
  <w:style w:type="character" w:customStyle="1" w:styleId="Heading5Char">
    <w:name w:val="Heading 5 Char"/>
    <w:basedOn w:val="DefaultParagraphFont"/>
    <w:link w:val="Heading5"/>
    <w:uiPriority w:val="9"/>
    <w:semiHidden/>
    <w:rsid w:val="002F67B6"/>
  </w:style>
  <w:style w:type="character" w:customStyle="1" w:styleId="Heading6Char">
    <w:name w:val="Heading 6 Char"/>
    <w:basedOn w:val="DefaultParagraphFont"/>
    <w:link w:val="Heading6"/>
    <w:uiPriority w:val="9"/>
    <w:semiHidden/>
    <w:rsid w:val="002F67B6"/>
  </w:style>
  <w:style w:type="character" w:customStyle="1" w:styleId="Heading7Char">
    <w:name w:val="Heading 7 Char"/>
    <w:basedOn w:val="DefaultParagraphFont"/>
    <w:link w:val="Heading7"/>
    <w:uiPriority w:val="9"/>
    <w:semiHidden/>
    <w:rsid w:val="002F67B6"/>
  </w:style>
  <w:style w:type="character" w:customStyle="1" w:styleId="Heading8Char">
    <w:name w:val="Heading 8 Char"/>
    <w:basedOn w:val="DefaultParagraphFont"/>
    <w:link w:val="Heading8"/>
    <w:uiPriority w:val="9"/>
    <w:semiHidden/>
    <w:rsid w:val="002F67B6"/>
  </w:style>
  <w:style w:type="character" w:customStyle="1" w:styleId="Heading9Char">
    <w:name w:val="Heading 9 Char"/>
    <w:basedOn w:val="DefaultParagraphFont"/>
    <w:link w:val="Heading9"/>
    <w:uiPriority w:val="9"/>
    <w:semiHidden/>
    <w:rsid w:val="002F67B6"/>
  </w:style>
  <w:style w:type="paragraph" w:customStyle="1" w:styleId="FootnoteRoLReport">
    <w:name w:val="Footnote RoL Report"/>
    <w:basedOn w:val="FootnoteText"/>
    <w:link w:val="FootnoteRoLReportChar"/>
    <w:autoRedefine/>
    <w:qFormat/>
    <w:rsid w:val="002F67B6"/>
    <w:pPr>
      <w:ind w:left="284" w:hanging="284"/>
      <w:outlineLvl w:val="0"/>
    </w:pPr>
    <w:rPr>
      <w:rFonts w:eastAsiaTheme="minorHAnsi" w:cstheme="minorBidi"/>
      <w:lang w:val="en-US" w:eastAsia="en-US"/>
    </w:rPr>
  </w:style>
  <w:style w:type="character" w:customStyle="1" w:styleId="FootnoteRoLReportChar">
    <w:name w:val="Footnote RoL Report Char"/>
    <w:basedOn w:val="FootnoteTextChar"/>
    <w:link w:val="FootnoteRoLReport"/>
    <w:rsid w:val="002F67B6"/>
    <w:rPr>
      <w:rFonts w:eastAsiaTheme="minorHAnsi" w:cstheme="minorBidi"/>
      <w:sz w:val="20"/>
      <w:lang w:val="en-US" w:eastAsia="en-US"/>
    </w:rPr>
  </w:style>
  <w:style w:type="paragraph" w:styleId="ListParagraph">
    <w:name w:val="List Paragraph"/>
    <w:basedOn w:val="Normal"/>
    <w:uiPriority w:val="34"/>
    <w:qFormat/>
    <w:locked/>
    <w:rsid w:val="002F67B6"/>
    <w:pPr>
      <w:ind w:left="720"/>
      <w:contextualSpacing/>
    </w:pPr>
    <w:rPr>
      <w:rFonts w:eastAsiaTheme="minorHAnsi" w:cstheme="minorBidi"/>
      <w:szCs w:val="22"/>
      <w:lang w:val="en-US" w:eastAsia="en-US"/>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2F67B6"/>
    <w:pPr>
      <w:spacing w:after="160" w:line="240" w:lineRule="exact"/>
    </w:pPr>
    <w:rPr>
      <w:vertAlign w:val="superscript"/>
    </w:rPr>
  </w:style>
  <w:style w:type="character" w:customStyle="1" w:styleId="Bodytext1">
    <w:name w:val="Body text|1_"/>
    <w:basedOn w:val="DefaultParagraphFont"/>
    <w:link w:val="Bodytext10"/>
    <w:rsid w:val="002F67B6"/>
  </w:style>
  <w:style w:type="paragraph" w:customStyle="1" w:styleId="Bodytext10">
    <w:name w:val="Body text|1"/>
    <w:basedOn w:val="Normal"/>
    <w:link w:val="Bodytext1"/>
    <w:rsid w:val="002F67B6"/>
    <w:pPr>
      <w:widowControl w:val="0"/>
      <w:spacing w:after="220"/>
      <w:jc w:val="left"/>
    </w:pPr>
  </w:style>
  <w:style w:type="character" w:styleId="Hyperlink">
    <w:name w:val="Hyperlink"/>
    <w:basedOn w:val="DefaultParagraphFont"/>
    <w:uiPriority w:val="99"/>
    <w:unhideWhenUsed/>
    <w:locked/>
    <w:rsid w:val="002F67B6"/>
    <w:rPr>
      <w:color w:val="0563C1" w:themeColor="hyperlink"/>
      <w:u w:val="single"/>
    </w:rPr>
  </w:style>
  <w:style w:type="paragraph" w:styleId="CommentSubject">
    <w:name w:val="annotation subject"/>
    <w:basedOn w:val="CommentText"/>
    <w:next w:val="CommentText"/>
    <w:link w:val="CommentSubjectChar"/>
    <w:uiPriority w:val="99"/>
    <w:semiHidden/>
    <w:unhideWhenUsed/>
    <w:locked/>
    <w:rsid w:val="002F67B6"/>
    <w:rPr>
      <w:b/>
      <w:bCs/>
    </w:rPr>
  </w:style>
  <w:style w:type="character" w:customStyle="1" w:styleId="CommentSubjectChar">
    <w:name w:val="Comment Subject Char"/>
    <w:basedOn w:val="CommentTextChar"/>
    <w:link w:val="CommentSubject"/>
    <w:uiPriority w:val="99"/>
    <w:semiHidden/>
    <w:rsid w:val="002F67B6"/>
    <w:rPr>
      <w:rFonts w:eastAsiaTheme="minorHAnsi" w:cstheme="minorBidi"/>
      <w:b/>
      <w:bCs/>
      <w:sz w:val="20"/>
      <w:lang w:val="en-US" w:eastAsia="en-US"/>
    </w:rPr>
  </w:style>
  <w:style w:type="character" w:customStyle="1" w:styleId="Footnote1">
    <w:name w:val="Footnote|1_"/>
    <w:basedOn w:val="DefaultParagraphFont"/>
    <w:link w:val="Footnote10"/>
    <w:rsid w:val="002F67B6"/>
    <w:rPr>
      <w:sz w:val="20"/>
    </w:rPr>
  </w:style>
  <w:style w:type="paragraph" w:customStyle="1" w:styleId="Footnote10">
    <w:name w:val="Footnote|1"/>
    <w:basedOn w:val="Normal"/>
    <w:link w:val="Footnote1"/>
    <w:rsid w:val="002F67B6"/>
    <w:pPr>
      <w:widowControl w:val="0"/>
      <w:spacing w:after="0"/>
      <w:ind w:left="400" w:hanging="380"/>
      <w:jc w:val="left"/>
    </w:pPr>
    <w:rPr>
      <w:sz w:val="20"/>
    </w:rPr>
  </w:style>
  <w:style w:type="character" w:customStyle="1" w:styleId="UnresolvedMention">
    <w:name w:val="Unresolved Mention"/>
    <w:basedOn w:val="DefaultParagraphFont"/>
    <w:uiPriority w:val="99"/>
    <w:semiHidden/>
    <w:unhideWhenUsed/>
    <w:rsid w:val="002F67B6"/>
    <w:rPr>
      <w:color w:val="605E5C"/>
      <w:shd w:val="clear" w:color="auto" w:fill="E1DFDD"/>
    </w:rPr>
  </w:style>
  <w:style w:type="paragraph" w:styleId="Revision">
    <w:name w:val="Revision"/>
    <w:hidden/>
    <w:uiPriority w:val="99"/>
    <w:semiHidden/>
    <w:locked/>
    <w:rsid w:val="002F67B6"/>
    <w:rPr>
      <w:rFonts w:eastAsiaTheme="minorHAnsi" w:cstheme="minorBidi"/>
      <w:szCs w:val="22"/>
      <w:lang w:val="en-US" w:eastAsia="en-US"/>
    </w:rPr>
  </w:style>
  <w:style w:type="character" w:customStyle="1" w:styleId="Mention">
    <w:name w:val="Mention"/>
    <w:basedOn w:val="DefaultParagraphFont"/>
    <w:uiPriority w:val="99"/>
    <w:unhideWhenUsed/>
    <w:rsid w:val="002F67B6"/>
    <w:rPr>
      <w:color w:val="2B579A"/>
      <w:shd w:val="clear" w:color="auto" w:fill="E1DFDD"/>
    </w:rPr>
  </w:style>
  <w:style w:type="character" w:styleId="FollowedHyperlink">
    <w:name w:val="FollowedHyperlink"/>
    <w:basedOn w:val="DefaultParagraphFont"/>
    <w:uiPriority w:val="99"/>
    <w:semiHidden/>
    <w:unhideWhenUsed/>
    <w:locked/>
    <w:rsid w:val="002F67B6"/>
    <w:rPr>
      <w:color w:val="954F72" w:themeColor="followedHyperlink"/>
      <w:u w:val="single"/>
    </w:rPr>
  </w:style>
  <w:style w:type="character" w:customStyle="1" w:styleId="FootnoteTextChar1">
    <w:name w:val="Footnote Text Char1"/>
    <w:basedOn w:val="DefaultParagraphFont"/>
    <w:uiPriority w:val="99"/>
    <w:semiHidden/>
    <w:rsid w:val="002F67B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661820">
      <w:bodyDiv w:val="1"/>
      <w:marLeft w:val="0"/>
      <w:marRight w:val="0"/>
      <w:marTop w:val="0"/>
      <w:marBottom w:val="0"/>
      <w:divBdr>
        <w:top w:val="none" w:sz="0" w:space="0" w:color="auto"/>
        <w:left w:val="none" w:sz="0" w:space="0" w:color="auto"/>
        <w:bottom w:val="none" w:sz="0" w:space="0" w:color="auto"/>
        <w:right w:val="none" w:sz="0" w:space="0" w:color="auto"/>
      </w:divBdr>
      <w:divsChild>
        <w:div w:id="1047026057">
          <w:marLeft w:val="0"/>
          <w:marRight w:val="0"/>
          <w:marTop w:val="0"/>
          <w:marBottom w:val="0"/>
          <w:divBdr>
            <w:top w:val="none" w:sz="0" w:space="0" w:color="auto"/>
            <w:left w:val="none" w:sz="0" w:space="0" w:color="auto"/>
            <w:bottom w:val="none" w:sz="0" w:space="0" w:color="auto"/>
            <w:right w:val="none" w:sz="0" w:space="0" w:color="auto"/>
          </w:divBdr>
        </w:div>
        <w:div w:id="1677607378">
          <w:marLeft w:val="0"/>
          <w:marRight w:val="0"/>
          <w:marTop w:val="0"/>
          <w:marBottom w:val="0"/>
          <w:divBdr>
            <w:top w:val="none" w:sz="0" w:space="0" w:color="auto"/>
            <w:left w:val="none" w:sz="0" w:space="0" w:color="auto"/>
            <w:bottom w:val="none" w:sz="0" w:space="0" w:color="auto"/>
            <w:right w:val="none" w:sz="0" w:space="0" w:color="auto"/>
          </w:divBdr>
        </w:div>
      </w:divsChild>
    </w:div>
    <w:div w:id="362290683">
      <w:bodyDiv w:val="1"/>
      <w:marLeft w:val="0"/>
      <w:marRight w:val="0"/>
      <w:marTop w:val="0"/>
      <w:marBottom w:val="0"/>
      <w:divBdr>
        <w:top w:val="none" w:sz="0" w:space="0" w:color="auto"/>
        <w:left w:val="none" w:sz="0" w:space="0" w:color="auto"/>
        <w:bottom w:val="none" w:sz="0" w:space="0" w:color="auto"/>
        <w:right w:val="none" w:sz="0" w:space="0" w:color="auto"/>
      </w:divBdr>
    </w:div>
    <w:div w:id="481193258">
      <w:bodyDiv w:val="1"/>
      <w:marLeft w:val="0"/>
      <w:marRight w:val="0"/>
      <w:marTop w:val="0"/>
      <w:marBottom w:val="0"/>
      <w:divBdr>
        <w:top w:val="none" w:sz="0" w:space="0" w:color="auto"/>
        <w:left w:val="none" w:sz="0" w:space="0" w:color="auto"/>
        <w:bottom w:val="none" w:sz="0" w:space="0" w:color="auto"/>
        <w:right w:val="none" w:sz="0" w:space="0" w:color="auto"/>
      </w:divBdr>
    </w:div>
    <w:div w:id="688602213">
      <w:bodyDiv w:val="1"/>
      <w:marLeft w:val="0"/>
      <w:marRight w:val="0"/>
      <w:marTop w:val="0"/>
      <w:marBottom w:val="0"/>
      <w:divBdr>
        <w:top w:val="none" w:sz="0" w:space="0" w:color="auto"/>
        <w:left w:val="none" w:sz="0" w:space="0" w:color="auto"/>
        <w:bottom w:val="none" w:sz="0" w:space="0" w:color="auto"/>
        <w:right w:val="none" w:sz="0" w:space="0" w:color="auto"/>
      </w:divBdr>
    </w:div>
    <w:div w:id="845749665">
      <w:bodyDiv w:val="1"/>
      <w:marLeft w:val="0"/>
      <w:marRight w:val="0"/>
      <w:marTop w:val="0"/>
      <w:marBottom w:val="0"/>
      <w:divBdr>
        <w:top w:val="none" w:sz="0" w:space="0" w:color="auto"/>
        <w:left w:val="none" w:sz="0" w:space="0" w:color="auto"/>
        <w:bottom w:val="none" w:sz="0" w:space="0" w:color="auto"/>
        <w:right w:val="none" w:sz="0" w:space="0" w:color="auto"/>
      </w:divBdr>
    </w:div>
    <w:div w:id="1003509725">
      <w:bodyDiv w:val="1"/>
      <w:marLeft w:val="0"/>
      <w:marRight w:val="0"/>
      <w:marTop w:val="0"/>
      <w:marBottom w:val="0"/>
      <w:divBdr>
        <w:top w:val="none" w:sz="0" w:space="0" w:color="auto"/>
        <w:left w:val="none" w:sz="0" w:space="0" w:color="auto"/>
        <w:bottom w:val="none" w:sz="0" w:space="0" w:color="auto"/>
        <w:right w:val="none" w:sz="0" w:space="0" w:color="auto"/>
      </w:divBdr>
      <w:divsChild>
        <w:div w:id="443232340">
          <w:marLeft w:val="0"/>
          <w:marRight w:val="0"/>
          <w:marTop w:val="0"/>
          <w:marBottom w:val="0"/>
          <w:divBdr>
            <w:top w:val="none" w:sz="0" w:space="0" w:color="auto"/>
            <w:left w:val="none" w:sz="0" w:space="0" w:color="auto"/>
            <w:bottom w:val="none" w:sz="0" w:space="0" w:color="auto"/>
            <w:right w:val="none" w:sz="0" w:space="0" w:color="auto"/>
          </w:divBdr>
        </w:div>
        <w:div w:id="1254390310">
          <w:marLeft w:val="0"/>
          <w:marRight w:val="0"/>
          <w:marTop w:val="0"/>
          <w:marBottom w:val="0"/>
          <w:divBdr>
            <w:top w:val="none" w:sz="0" w:space="0" w:color="auto"/>
            <w:left w:val="none" w:sz="0" w:space="0" w:color="auto"/>
            <w:bottom w:val="none" w:sz="0" w:space="0" w:color="auto"/>
            <w:right w:val="none" w:sz="0" w:space="0" w:color="auto"/>
          </w:divBdr>
          <w:divsChild>
            <w:div w:id="37913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078035">
      <w:bodyDiv w:val="1"/>
      <w:marLeft w:val="0"/>
      <w:marRight w:val="0"/>
      <w:marTop w:val="0"/>
      <w:marBottom w:val="0"/>
      <w:divBdr>
        <w:top w:val="none" w:sz="0" w:space="0" w:color="auto"/>
        <w:left w:val="none" w:sz="0" w:space="0" w:color="auto"/>
        <w:bottom w:val="none" w:sz="0" w:space="0" w:color="auto"/>
        <w:right w:val="none" w:sz="0" w:space="0" w:color="auto"/>
      </w:divBdr>
    </w:div>
    <w:div w:id="1800997789">
      <w:bodyDiv w:val="1"/>
      <w:marLeft w:val="0"/>
      <w:marRight w:val="0"/>
      <w:marTop w:val="0"/>
      <w:marBottom w:val="0"/>
      <w:divBdr>
        <w:top w:val="none" w:sz="0" w:space="0" w:color="auto"/>
        <w:left w:val="none" w:sz="0" w:space="0" w:color="auto"/>
        <w:bottom w:val="none" w:sz="0" w:space="0" w:color="auto"/>
        <w:right w:val="none" w:sz="0" w:space="0" w:color="auto"/>
      </w:divBdr>
    </w:div>
    <w:div w:id="1813131832">
      <w:bodyDiv w:val="1"/>
      <w:marLeft w:val="0"/>
      <w:marRight w:val="0"/>
      <w:marTop w:val="0"/>
      <w:marBottom w:val="0"/>
      <w:divBdr>
        <w:top w:val="none" w:sz="0" w:space="0" w:color="auto"/>
        <w:left w:val="none" w:sz="0" w:space="0" w:color="auto"/>
        <w:bottom w:val="none" w:sz="0" w:space="0" w:color="auto"/>
        <w:right w:val="none" w:sz="0" w:space="0" w:color="auto"/>
      </w:divBdr>
      <w:divsChild>
        <w:div w:id="1559701439">
          <w:marLeft w:val="0"/>
          <w:marRight w:val="0"/>
          <w:marTop w:val="0"/>
          <w:marBottom w:val="0"/>
          <w:divBdr>
            <w:top w:val="none" w:sz="0" w:space="0" w:color="auto"/>
            <w:left w:val="none" w:sz="0" w:space="0" w:color="auto"/>
            <w:bottom w:val="none" w:sz="0" w:space="0" w:color="auto"/>
            <w:right w:val="none" w:sz="0" w:space="0" w:color="auto"/>
          </w:divBdr>
        </w:div>
        <w:div w:id="1947956538">
          <w:marLeft w:val="0"/>
          <w:marRight w:val="0"/>
          <w:marTop w:val="0"/>
          <w:marBottom w:val="0"/>
          <w:divBdr>
            <w:top w:val="none" w:sz="0" w:space="0" w:color="auto"/>
            <w:left w:val="none" w:sz="0" w:space="0" w:color="auto"/>
            <w:bottom w:val="none" w:sz="0" w:space="0" w:color="auto"/>
            <w:right w:val="none" w:sz="0" w:space="0" w:color="auto"/>
          </w:divBdr>
        </w:div>
      </w:divsChild>
    </w:div>
    <w:div w:id="2062053083">
      <w:bodyDiv w:val="1"/>
      <w:marLeft w:val="0"/>
      <w:marRight w:val="0"/>
      <w:marTop w:val="0"/>
      <w:marBottom w:val="0"/>
      <w:divBdr>
        <w:top w:val="none" w:sz="0" w:space="0" w:color="auto"/>
        <w:left w:val="none" w:sz="0" w:space="0" w:color="auto"/>
        <w:bottom w:val="none" w:sz="0" w:space="0" w:color="auto"/>
        <w:right w:val="none" w:sz="0" w:space="0" w:color="auto"/>
      </w:divBdr>
      <w:divsChild>
        <w:div w:id="71851512">
          <w:marLeft w:val="0"/>
          <w:marRight w:val="0"/>
          <w:marTop w:val="0"/>
          <w:marBottom w:val="0"/>
          <w:divBdr>
            <w:top w:val="none" w:sz="0" w:space="0" w:color="auto"/>
            <w:left w:val="none" w:sz="0" w:space="0" w:color="auto"/>
            <w:bottom w:val="none" w:sz="0" w:space="0" w:color="auto"/>
            <w:right w:val="none" w:sz="0" w:space="0" w:color="auto"/>
          </w:divBdr>
        </w:div>
        <w:div w:id="142507163">
          <w:marLeft w:val="0"/>
          <w:marRight w:val="0"/>
          <w:marTop w:val="0"/>
          <w:marBottom w:val="0"/>
          <w:divBdr>
            <w:top w:val="none" w:sz="0" w:space="0" w:color="auto"/>
            <w:left w:val="none" w:sz="0" w:space="0" w:color="auto"/>
            <w:bottom w:val="none" w:sz="0" w:space="0" w:color="auto"/>
            <w:right w:val="none" w:sz="0" w:space="0" w:color="auto"/>
          </w:divBdr>
          <w:divsChild>
            <w:div w:id="64771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yperlink" Target="https://birdlifemalta.org/2025/10/thousands-protest-in-valletta-against-governments-controversial-planning-reform/" TargetMode="External"/><Relationship Id="rId39" Type="http://schemas.openxmlformats.org/officeDocument/2006/relationships/hyperlink" Target="https://rm.coe.int/2025-annual-report/48802b1633" TargetMode="External"/><Relationship Id="rId21" Type="http://schemas.openxmlformats.org/officeDocument/2006/relationships/footer" Target="footer3.xml"/><Relationship Id="rId34" Type="http://schemas.openxmlformats.org/officeDocument/2006/relationships/hyperlink" Target="https://www.liberties.eu/f/wtaqoq" TargetMode="External"/><Relationship Id="rId42" Type="http://schemas.openxmlformats.org/officeDocument/2006/relationships/hyperlink" Target="https://www.daphne.foundation/documents/reports/%20justice-at-risk-delayed-court-proceedings-in-malta.pdf" TargetMode="External"/><Relationship Id="rId47" Type="http://schemas.openxmlformats.org/officeDocument/2006/relationships/hyperlink" Target="https://www.parlament.mt/en/14th-leg/bills/bill-018-constitution-of-malta-amendment-bill/" TargetMode="External"/><Relationship Id="rId50" Type="http://schemas.openxmlformats.org/officeDocument/2006/relationships/hyperlink" Target="https://www.parlament.mt/14th-leg/bills/bill-143-development-planning/" TargetMode="External"/><Relationship Id="rId55" Type="http://schemas.openxmlformats.org/officeDocument/2006/relationships/hyperlink" Target="https://legislation.mt/LegalNotices" TargetMode="External"/><Relationship Id="rId63" Type="http://schemas.openxmlformats.org/officeDocument/2006/relationships/hyperlink" Target="https://www.oecd.org/content/dam/oecd/en/publications/reports/%202023/10/public-integrity-in-malta_009f6d5a/0ecc469e-en.pdf" TargetMode="External"/><Relationship Id="rId68" Type="http://schemas.openxmlformats.org/officeDocument/2006/relationships/hyperlink" Target="https://parlament.mt/en/14th-leg/acts/" TargetMode="External"/><Relationship Id="rId76" Type="http://schemas.openxmlformats.org/officeDocument/2006/relationships/hyperlink" Target="https://www.venice.coe.int/webforms/documents/?pdf=CDL-AD(2020)006-e" TargetMode="External"/><Relationship Id="rId84" Type="http://schemas.openxmlformats.org/officeDocument/2006/relationships/fontTable" Target="fontTable.xml"/><Relationship Id="rId7" Type="http://schemas.openxmlformats.org/officeDocument/2006/relationships/customXml" Target="../customXml/item7.xml"/><Relationship Id="rId71" Type="http://schemas.openxmlformats.org/officeDocument/2006/relationships/hyperlink" Target="https://repubblika.org/press-release/the-appointment-of-the-chief-justice-cannot-continue-to-depend-on-political-calculations/" TargetMode="Externa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avukati.org/uncategorised/stqarrija-dwar-il-hatra-ghall-kariga-ta-prim-imhallef-tal-qrati/" TargetMode="External"/><Relationship Id="rId11" Type="http://schemas.openxmlformats.org/officeDocument/2006/relationships/settings" Target="settings.xml"/><Relationship Id="rId24" Type="http://schemas.openxmlformats.org/officeDocument/2006/relationships/hyperlink" Target="https://aditus.org.mt/bill-125-in-genere-inquests/" TargetMode="External"/><Relationship Id="rId32" Type="http://schemas.openxmlformats.org/officeDocument/2006/relationships/hyperlink" Target="https://maltachamber.org.mt/quest-for-truth-and-justice/" TargetMode="External"/><Relationship Id="rId37" Type="http://schemas.openxmlformats.org/officeDocument/2006/relationships/hyperlink" Target="https://legislation.mt/eli/const/eng" TargetMode="External"/><Relationship Id="rId40" Type="http://schemas.openxmlformats.org/officeDocument/2006/relationships/hyperlink" Target="https://www.coe.int/en/web/implementation/attorney-general-and-state-advocate-in-malta/-/asset_publisher/viLgZXC0OZhs/content/marking-the-successful-completion-of-malta-s-attorney-general-and-state-advocate-offices-re-organisation" TargetMode="External"/><Relationship Id="rId45" Type="http://schemas.openxmlformats.org/officeDocument/2006/relationships/hyperlink" Target="https://rm.coe.int/fifth-evaluation-round-preventing-corruption-and-promoting-integrity-i/4880297b95" TargetMode="External"/><Relationship Id="rId53" Type="http://schemas.openxmlformats.org/officeDocument/2006/relationships/hyperlink" Target="https://www.independent.com.mt/articles/2025-08-10/blogs-opinions/The-rule-of-law-and-government-s-planning-bills-6736272249" TargetMode="External"/><Relationship Id="rId58" Type="http://schemas.openxmlformats.org/officeDocument/2006/relationships/hyperlink" Target="https://www.gov.mt/en/Government/DOI/Press%20Releases/Pages/2025/11/17/pr252041en.aspx" TargetMode="External"/><Relationship Id="rId66" Type="http://schemas.openxmlformats.org/officeDocument/2006/relationships/hyperlink" Target="https://odihr.osce.org/sites/default/files/f/documents/8/7/522712.pdf" TargetMode="External"/><Relationship Id="rId74" Type="http://schemas.openxmlformats.org/officeDocument/2006/relationships/hyperlink" Target="https://www.coe.int/en/web/venice-commission/-/cdl-ref-2026-026-e" TargetMode="External"/><Relationship Id="rId79" Type="http://schemas.openxmlformats.org/officeDocument/2006/relationships/header" Target="header5.xml"/><Relationship Id="rId5" Type="http://schemas.openxmlformats.org/officeDocument/2006/relationships/customXml" Target="../customXml/item5.xml"/><Relationship Id="rId61" Type="http://schemas.openxmlformats.org/officeDocument/2006/relationships/hyperlink" Target="https://movimentgraffitti.org/2026/04/%2012/gustizzja-ghal-artna-organisations-gather-in-front-of-castille-demanding-genuine-planning-reform/" TargetMode="External"/><Relationship Id="rId82" Type="http://schemas.openxmlformats.org/officeDocument/2006/relationships/header" Target="header6.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yperlink" Target="https://commission.europa.eu/publications/2026-rule-law-report-targeted-stakeholder-consultation_en" TargetMode="External"/><Relationship Id="rId27" Type="http://schemas.openxmlformats.org/officeDocument/2006/relationships/hyperlink" Target="https://commission.europa.eu/document/download/8cdf178c-a54e-4c6f-ae3d-8c05013e5366_en?filename=Part%201%20-%20Data%20tables%20per%20indicator%20for%20all%20EU%20Member%20States.pdf" TargetMode="External"/><Relationship Id="rId30" Type="http://schemas.openxmlformats.org/officeDocument/2006/relationships/hyperlink" Target="https://avukati.org/news/public-statement-on-the-protection-of-agricultural-land-regulations/" TargetMode="External"/><Relationship Id="rId35" Type="http://schemas.openxmlformats.org/officeDocument/2006/relationships/hyperlink" Target="https://monitor.civicus.org/explore/malta-large-mobilisation-against-planning-bills/" TargetMode="External"/><Relationship Id="rId43" Type="http://schemas.openxmlformats.org/officeDocument/2006/relationships/hyperlink" Target="https://www.maltatoday.com.mt/comment/opinions/136664/%20planning_for_modern_justice_what_does_it_even_mean" TargetMode="External"/><Relationship Id="rId48" Type="http://schemas.openxmlformats.org/officeDocument/2006/relationships/hyperlink" Target="https://www.parlament.mt/en/14th-leg/bills/bill-017-committee-for-the-recommendation-of-measures-for-the-protection-of-journalistspdf/" TargetMode="External"/><Relationship Id="rId56" Type="http://schemas.openxmlformats.org/officeDocument/2006/relationships/hyperlink" Target="https://pulizija.gov.mt/wp-content/uploads/2025/09/Corporate-Strategy-2025-2030.pdf" TargetMode="External"/><Relationship Id="rId64" Type="http://schemas.openxmlformats.org/officeDocument/2006/relationships/hyperlink" Target="https://one.oecd.org/document/GOV/PGC/INT(2022)9/FINAL/en/pdf" TargetMode="External"/><Relationship Id="rId69" Type="http://schemas.openxmlformats.org/officeDocument/2006/relationships/hyperlink" Target="https://president.gov.mt/media/retired-judge-anthony-abela-takes-the-oath-of-office-as-maltas-first-commissioner-for-judicial-standards/" TargetMode="External"/><Relationship Id="rId77" Type="http://schemas.openxmlformats.org/officeDocument/2006/relationships/hyperlink" Target="https://www.venice.coe.int/webforms/documents/?pdf=CDL-AD(2018)028-e" TargetMode="External"/><Relationship Id="rId8" Type="http://schemas.openxmlformats.org/officeDocument/2006/relationships/customXml" Target="../customXml/item8.xml"/><Relationship Id="rId51" Type="http://schemas.openxmlformats.org/officeDocument/2006/relationships/hyperlink" Target="https://parlament.mt/media/134013/bill-134-constitution-of-malta-amendment-bill.pdf" TargetMode="External"/><Relationship Id="rId72" Type="http://schemas.openxmlformats.org/officeDocument/2006/relationships/hyperlink" Target="https://repubblika.org/press-release/judicial-involvement-in-the-appointment-of-the-chief-justice/" TargetMode="External"/><Relationship Id="rId80" Type="http://schemas.openxmlformats.org/officeDocument/2006/relationships/footer" Target="footer4.xml"/><Relationship Id="rId85"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hyperlink" Target="https://aditus.org.mt/bill-134-rushed-judicial-constitutional-amendments-without-consultation/" TargetMode="External"/><Relationship Id="rId33" Type="http://schemas.openxmlformats.org/officeDocument/2006/relationships/hyperlink" Target="https://judiciary.mt/wp-content/uploads/2025/10/Diskors-Ftuh-tas-Sena-Forensi-Ottubru-2025.pdf" TargetMode="External"/><Relationship Id="rId38" Type="http://schemas.openxmlformats.org/officeDocument/2006/relationships/hyperlink" Target="https://constitutionnet.org/news/voices/maltese-government-advances-narrow-reform-while-broader-constitutional-package-collapses" TargetMode="External"/><Relationship Id="rId46" Type="http://schemas.openxmlformats.org/officeDocument/2006/relationships/hyperlink" Target="https://www.parlament.mt/en/14th-leg/bills/bill-019-protection-of-the-media-and-journalists-various-laws-amendment-bill/" TargetMode="External"/><Relationship Id="rId59" Type="http://schemas.openxmlformats.org/officeDocument/2006/relationships/hyperlink" Target="https://www.gov.mt/en/Government/Press%20Releases/Pages/2023/12/20/pr231623.aspx" TargetMode="External"/><Relationship Id="rId67" Type="http://schemas.openxmlformats.org/officeDocument/2006/relationships/hyperlink" Target="https://odihr.osce.org/sites/default/files/f/documents/1/b/596929.pdf" TargetMode="External"/><Relationship Id="rId20" Type="http://schemas.openxmlformats.org/officeDocument/2006/relationships/header" Target="header3.xml"/><Relationship Id="rId41" Type="http://schemas.openxmlformats.org/officeDocument/2006/relationships/hyperlink" Target="https://eur-lex.europa.eu/eli/C/2025/3238/oj/eng" TargetMode="External"/><Relationship Id="rId54" Type="http://schemas.openxmlformats.org/officeDocument/2006/relationships/hyperlink" Target="https://www.independent.com.mt/articles/2025-08-03/blogs-opinions/Government-s-legalised-rape-of-Malta-s-environment-6736272086" TargetMode="External"/><Relationship Id="rId62" Type="http://schemas.openxmlformats.org/officeDocument/2006/relationships/hyperlink" Target="https://doi.org/10.1787/6f007516-en" TargetMode="External"/><Relationship Id="rId70" Type="http://schemas.openxmlformats.org/officeDocument/2006/relationships/hyperlink" Target="https://repubblika.org/press-release/ethics-reform-misses-the-real-problem-government-must-open-public-consultation/" TargetMode="External"/><Relationship Id="rId75" Type="http://schemas.openxmlformats.org/officeDocument/2006/relationships/hyperlink" Target="https://www.venice.coe.int/webforms/%20documents/?pdf=CDL-AD(2020)019-e" TargetMode="External"/><Relationship Id="rId83"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1.emf"/><Relationship Id="rId23" Type="http://schemas.openxmlformats.org/officeDocument/2006/relationships/hyperlink" Target="https://aditus.org.mt/chief-justice-press-statement/" TargetMode="External"/><Relationship Id="rId28" Type="http://schemas.openxmlformats.org/officeDocument/2006/relationships/hyperlink" Target="https://avukati.org/news/stqarrija-dwar-il-hatra-ghall-kariga-ta-prim-imhallef-tal-qrati-2/" TargetMode="External"/><Relationship Id="rId36" Type="http://schemas.openxmlformats.org/officeDocument/2006/relationships/hyperlink" Target="https://standardscommissioner.mt/wp-content/uploads/letter-to-pm-2026-01-06-en.pdf" TargetMode="External"/><Relationship Id="rId49" Type="http://schemas.openxmlformats.org/officeDocument/2006/relationships/hyperlink" Target="https://parlament.mt/14th-leg/bills/bill-144-environment-and-planning-review-tribunal/" TargetMode="External"/><Relationship Id="rId57" Type="http://schemas.openxmlformats.org/officeDocument/2006/relationships/hyperlink" Target="https://finance.gov.mt/wp-content/uploads/2026/01/Financial-Estimates-2026.pdf" TargetMode="External"/><Relationship Id="rId10" Type="http://schemas.openxmlformats.org/officeDocument/2006/relationships/styles" Target="styles.xml"/><Relationship Id="rId31" Type="http://schemas.openxmlformats.org/officeDocument/2006/relationships/hyperlink" Target="https://avukati.org/news/pa-bills-statement-from-the-chamber-of-advocates/" TargetMode="External"/><Relationship Id="rId44" Type="http://schemas.openxmlformats.org/officeDocument/2006/relationships/hyperlink" Target="https://justice.gov.mt/wp-content/uploads/2025/12/Executive-Summary-1-for-M6.5-December-2025.pdf" TargetMode="External"/><Relationship Id="rId52" Type="http://schemas.openxmlformats.org/officeDocument/2006/relationships/hyperlink" Target="https://www.imf.org/-/media/files/publications/cr/2026/english/1mltea2026001-source-pdf.pdf" TargetMode="External"/><Relationship Id="rId60" Type="http://schemas.openxmlformats.org/officeDocument/2006/relationships/hyperlink" Target="https://maltacvs.org/wp-content/uploads/2025/12/FINAL-Strategy-book-EN-version-3-SQUARE-1.pdf" TargetMode="External"/><Relationship Id="rId65" Type="http://schemas.openxmlformats.org/officeDocument/2006/relationships/hyperlink" Target="https://odihr.osce.org/odihr/596929" TargetMode="External"/><Relationship Id="rId73" Type="http://schemas.openxmlformats.org/officeDocument/2006/relationships/hyperlink" Target="https://repubblika.org/press-release/we-urgently-need-party-funding-reform/" TargetMode="External"/><Relationship Id="rId78" Type="http://schemas.openxmlformats.org/officeDocument/2006/relationships/header" Target="header4.xml"/><Relationship Id="rId81"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s://www.coe.int/en/web/execution/malta" TargetMode="External"/><Relationship Id="rId3" Type="http://schemas.openxmlformats.org/officeDocument/2006/relationships/hyperlink" Target="https://hudoc.echr.coe.int/fre" TargetMode="External"/><Relationship Id="rId7" Type="http://schemas.openxmlformats.org/officeDocument/2006/relationships/hyperlink" Target="https://www.mfrr.eu/monitor/" TargetMode="External"/><Relationship Id="rId2" Type="http://schemas.openxmlformats.org/officeDocument/2006/relationships/hyperlink" Target="https://parlament.mt/media/134013/bill-134-constitution-of-malta-amendment-bill.pdf" TargetMode="External"/><Relationship Id="rId1" Type="http://schemas.openxmlformats.org/officeDocument/2006/relationships/hyperlink" Target="https://commission.europa.eu/document/c19f24ea-0362-4375-9edf-9665fddbc6af_en" TargetMode="External"/><Relationship Id="rId6" Type="http://schemas.openxmlformats.org/officeDocument/2006/relationships/hyperlink" Target="https://fom.coe.int/en/pays/detail/11709548" TargetMode="External"/><Relationship Id="rId5" Type="http://schemas.openxmlformats.org/officeDocument/2006/relationships/hyperlink" Target="https://foi.gov.mt/en/" TargetMode="External"/><Relationship Id="rId10" Type="http://schemas.openxmlformats.org/officeDocument/2006/relationships/hyperlink" Target="https://monitor.civicus.org/country/malta/" TargetMode="External"/><Relationship Id="rId4" Type="http://schemas.openxmlformats.org/officeDocument/2006/relationships/hyperlink" Target="https://globalfreedomofexpression.columbia.edu/wp-content/uploads/2021/12/public-inquiry-report-en.pdf" TargetMode="External"/><Relationship Id="rId9" Type="http://schemas.openxmlformats.org/officeDocument/2006/relationships/hyperlink" Target="https://www.coe.int/en/web/execution/the-supervision-proc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Author AuthorRoleName="Writer" AuthorRoleId="a4fbaff4-b07c-48b4-a21e-e7b9eedf3796">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2.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Table>Table </Table>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SecurityPharmaSpecial>Pharma Investigations</SecurityPharmaSpecial>
  <SpecialHandlingFootnote>Special handling instructions are given at </SpecialHandlingFootnote>
  <PharmaHandlingInstructions>{field:HYPERLINK "https://myintracomm.ec.europa.eu/corp/security/EN/newDS3/SensitiveInformation/Pages/SPECIAL-HANDLING-INFORMATION-Pharma-investigations.aspx?ln=en" |https://myintracomm.ec.europa.eu/corp/security/EN/newDS3/SensitiveInformation/Pages/SPECIAL-HANDLING-INFORMATION-Pharma-investigations.aspx?ln=en}</PharmaHandlingInstructions>
  <SpecialHandlingLabel>Special Handling</SpecialHandlingLabel>
  <TOCHeading>Table of Contents</TOCHeading>
  <NoteSubject>Subject:</NoteSubject>
  <CLIMAfootnotetext>{field:HYPERLINK "https://myintracomm.ec.europa.eu/corp/security/EN/newDS3/SensitiveInformation/Pages/SPECIAL-HANDLING-INFORMATION-DG-CLIMA.aspx?ln=en" |https://myintracomm.ec.europa.eu/corp/security/EN/newDS3/SensitiveInformation/Pages/SPECIAL-HANDLING-INFORMATION-DG-CLIMA.aspx?ln=en}</CLIMAfootnotetext>
  <SpecialHandlingClima>CLIMA</SpecialHandlingClima>
  <AddressFooterBrussels>Commission européenne/Europese Commissie, 1049 Bruxelles/Brussel, BELGIQUE/BELGIË - Tel. +32 22991111</AddressFooterBrussels>
  <AddresseeTo>To:</AddresseeTo>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HandlingInstructions>{field:HYPERLINK "https://myintracomm.ec.europa.eu/corp/security/EN/newDS3/SensitiveInformation/Pages/SPECIAL-HANDLING-INFORMATION-OLAF-Investigations.aspx?ln=en" |https://myintracomm.ec.europa.eu/corp/security/EN/newDS3/SensitiveInformation/Pages/SPECIAL-HANDLING-INFORMATION-OLAF-Investigations.aspx?ln=en}</OLAFHandlingInstructions>
  <SecurityOlafSpecialHandling>OLAF Investigations</SecurityOlafSpecialHandling>
  <SecurityCompSpecial>COMP</SecurityCompSpecial>
  <COMPFootnoteText>{field:HYPERLINK "https://myintracomm.ec.europa.eu/corp/security/EN/newDS3/SensitiveInformation/Pages/SPECIAL-HANDLING-INFORMATION-DG-COMP.aspx?ln=en" |https://myintracomm.ec.europa.eu/corp/security/EN/newDS3/SensitiveInformation/Pages/SPECIAL-HANDLING-INFORMATION-DG-COMP.aspx?ln=en}</COMPFootnoteText>
  <DateFormatShort>dd/MM/yyyy</DateFormatShort>
  <DateFormatLong>d MMMM yyyy</DateFormatLong>
</Texts>
</file>

<file path=customXml/item3.xml><?xml version="1.0" encoding="utf-8"?>
<EurolookProperties>
  <ProductCustomizationId>EC</ProductCustomizationId>
  <Created>
    <Version>10.0.41212.0</Version>
    <Date>2020-11-24T17:06:29</Date>
    <Language>EN</Language>
    <Note/>
  </Created>
  <Edited>
    <Version>10.0.42447.0</Version>
    <Date>2021-06-17T15:00:18</Date>
  </Edited>
  <DocumentModel>
    <Id>0b054141-88b1-4efb-8c91-2905cb0bed6c</Id>
    <Name>Note</Name>
  </DocumentModel>
  <DocumentDate>2020-11-24T17:06:29</DocumentDate>
  <DocumentVersion>0.1</DocumentVersion>
  <CompatibilityMode>Eurolook10</CompatibilityMode>
  <DocumentMetadata>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4.xml><?xml version="1.0" encoding="utf-8"?>
<Author Role="Creator" AuthorRoleName="Signatory" AuthorRoleId="dd422d74-d41f-4095-8cb8-8304a90a6b0c">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CD92FCBF67B53A4EB1060DF04C43C986" ma:contentTypeVersion="3" ma:contentTypeDescription="Create a new document." ma:contentTypeScope="" ma:versionID="160458b40ae656039631239bfc2e4afa">
  <xsd:schema xmlns:xsd="http://www.w3.org/2001/XMLSchema" xmlns:xs="http://www.w3.org/2001/XMLSchema" xmlns:p="http://schemas.microsoft.com/office/2006/metadata/properties" xmlns:ns2="ffa05dec-e383-4a36-a526-3e8014669239" targetNamespace="http://schemas.microsoft.com/office/2006/metadata/properties" ma:root="true" ma:fieldsID="9ba3d3c4eea8e9002ee5e7ca0c66d8e2" ns2:_="">
    <xsd:import namespace="ffa05dec-e383-4a36-a526-3e80146692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05dec-e383-4a36-a526-3e80146692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p:properties xmlns:p="http://schemas.microsoft.com/office/2006/metadata/properties" xmlns:xsi="http://www.w3.org/2001/XMLSchema-instance" xmlns:pc="http://schemas.microsoft.com/office/infopath/2007/PartnerControls">
  <documentManagement/>
</p:properties>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DEDC53-A93E-4ADB-9EC2-F69334C80BD2}">
  <ds:schemaRefs/>
</ds:datastoreItem>
</file>

<file path=customXml/itemProps2.xml><?xml version="1.0" encoding="utf-8"?>
<ds:datastoreItem xmlns:ds="http://schemas.openxmlformats.org/officeDocument/2006/customXml" ds:itemID="{4EF90DE6-88B6-4264-9629-4D8DFDFE87D2}">
  <ds:schemaRefs/>
</ds:datastoreItem>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5799BB7C-547C-4C15-B61E-BE0A69226E01}">
  <ds:schemaRefs/>
</ds:datastoreItem>
</file>

<file path=customXml/itemProps5.xml><?xml version="1.0" encoding="utf-8"?>
<ds:datastoreItem xmlns:ds="http://schemas.openxmlformats.org/officeDocument/2006/customXml" ds:itemID="{6848B5BA-4D8B-4BBF-B282-2B7DB578093D}">
  <ds:schemaRefs>
    <ds:schemaRef ds:uri="http://schemas.microsoft.com/sharepoint/v3/contenttype/forms"/>
  </ds:schemaRefs>
</ds:datastoreItem>
</file>

<file path=customXml/itemProps6.xml><?xml version="1.0" encoding="utf-8"?>
<ds:datastoreItem xmlns:ds="http://schemas.openxmlformats.org/officeDocument/2006/customXml" ds:itemID="{DA9290E1-7791-427A-9CD1-F840A73A46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05dec-e383-4a36-a526-3e8014669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9066B443-2E6A-47BE-9C39-22629AECD1FE}">
  <ds:schemaRefs>
    <ds:schemaRef ds:uri="http://schemas.microsoft.com/office/2006/metadata/properties"/>
    <ds:schemaRef ds:uri="http://schemas.microsoft.com/office/infopath/2007/PartnerControls"/>
  </ds:schemaRefs>
</ds:datastoreItem>
</file>

<file path=customXml/itemProps8.xml><?xml version="1.0" encoding="utf-8"?>
<ds:datastoreItem xmlns:ds="http://schemas.openxmlformats.org/officeDocument/2006/customXml" ds:itemID="{A6B97E66-BEC8-41A6-B8B8-5073B15E5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9006</Words>
  <Characters>51336</Characters>
  <Application>Microsoft Office Word</Application>
  <DocSecurity>0</DocSecurity>
  <PresentationFormat>Microsoft Word 14.0</PresentationFormat>
  <Lines>427</Lines>
  <Paragraphs>120</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60222</CharactersWithSpaces>
  <SharedDoc>false</SharedDoc>
  <HLinks>
    <vt:vector size="396" baseType="variant">
      <vt:variant>
        <vt:i4>1245214</vt:i4>
      </vt:variant>
      <vt:variant>
        <vt:i4>165</vt:i4>
      </vt:variant>
      <vt:variant>
        <vt:i4>0</vt:i4>
      </vt:variant>
      <vt:variant>
        <vt:i4>5</vt:i4>
      </vt:variant>
      <vt:variant>
        <vt:lpwstr>https://www.venice.coe.int/webforms/documents/?pdf=CDL-AD(2018)028-e</vt:lpwstr>
      </vt:variant>
      <vt:variant>
        <vt:lpwstr/>
      </vt:variant>
      <vt:variant>
        <vt:i4>1376287</vt:i4>
      </vt:variant>
      <vt:variant>
        <vt:i4>162</vt:i4>
      </vt:variant>
      <vt:variant>
        <vt:i4>0</vt:i4>
      </vt:variant>
      <vt:variant>
        <vt:i4>5</vt:i4>
      </vt:variant>
      <vt:variant>
        <vt:lpwstr>https://www.venice.coe.int/webforms/documents/?pdf=CDL-AD(2020)006-e</vt:lpwstr>
      </vt:variant>
      <vt:variant>
        <vt:lpwstr/>
      </vt:variant>
      <vt:variant>
        <vt:i4>720970</vt:i4>
      </vt:variant>
      <vt:variant>
        <vt:i4>159</vt:i4>
      </vt:variant>
      <vt:variant>
        <vt:i4>0</vt:i4>
      </vt:variant>
      <vt:variant>
        <vt:i4>5</vt:i4>
      </vt:variant>
      <vt:variant>
        <vt:lpwstr>https://www.venice.coe.int/webforms/ documents/?pdf=CDL-AD(2020)019-e</vt:lpwstr>
      </vt:variant>
      <vt:variant>
        <vt:lpwstr/>
      </vt:variant>
      <vt:variant>
        <vt:i4>1507400</vt:i4>
      </vt:variant>
      <vt:variant>
        <vt:i4>156</vt:i4>
      </vt:variant>
      <vt:variant>
        <vt:i4>0</vt:i4>
      </vt:variant>
      <vt:variant>
        <vt:i4>5</vt:i4>
      </vt:variant>
      <vt:variant>
        <vt:lpwstr>https://www.coe.int/en/web/venice-commission/-/cdl-ref-2026-026-e</vt:lpwstr>
      </vt:variant>
      <vt:variant>
        <vt:lpwstr/>
      </vt:variant>
      <vt:variant>
        <vt:i4>7602278</vt:i4>
      </vt:variant>
      <vt:variant>
        <vt:i4>153</vt:i4>
      </vt:variant>
      <vt:variant>
        <vt:i4>0</vt:i4>
      </vt:variant>
      <vt:variant>
        <vt:i4>5</vt:i4>
      </vt:variant>
      <vt:variant>
        <vt:lpwstr>https://repubblika.org/press-release/we-urgently-need-party-funding-reform/</vt:lpwstr>
      </vt:variant>
      <vt:variant>
        <vt:lpwstr/>
      </vt:variant>
      <vt:variant>
        <vt:i4>7274602</vt:i4>
      </vt:variant>
      <vt:variant>
        <vt:i4>150</vt:i4>
      </vt:variant>
      <vt:variant>
        <vt:i4>0</vt:i4>
      </vt:variant>
      <vt:variant>
        <vt:i4>5</vt:i4>
      </vt:variant>
      <vt:variant>
        <vt:lpwstr>https://repubblika.org/press-release/judicial-involvement-in-the-appointment-of-the-chief-justice/</vt:lpwstr>
      </vt:variant>
      <vt:variant>
        <vt:lpwstr/>
      </vt:variant>
      <vt:variant>
        <vt:i4>4063285</vt:i4>
      </vt:variant>
      <vt:variant>
        <vt:i4>147</vt:i4>
      </vt:variant>
      <vt:variant>
        <vt:i4>0</vt:i4>
      </vt:variant>
      <vt:variant>
        <vt:i4>5</vt:i4>
      </vt:variant>
      <vt:variant>
        <vt:lpwstr>https://repubblika.org/press-release/the-appointment-of-the-chief-justice-cannot-continue-to-depend-on-political-calculations/</vt:lpwstr>
      </vt:variant>
      <vt:variant>
        <vt:lpwstr/>
      </vt:variant>
      <vt:variant>
        <vt:i4>1441799</vt:i4>
      </vt:variant>
      <vt:variant>
        <vt:i4>144</vt:i4>
      </vt:variant>
      <vt:variant>
        <vt:i4>0</vt:i4>
      </vt:variant>
      <vt:variant>
        <vt:i4>5</vt:i4>
      </vt:variant>
      <vt:variant>
        <vt:lpwstr>https://repubblika.org/press-release/ethics-reform-misses-the-real-problem-government-must-open-public-consultation/</vt:lpwstr>
      </vt:variant>
      <vt:variant>
        <vt:lpwstr/>
      </vt:variant>
      <vt:variant>
        <vt:i4>1441880</vt:i4>
      </vt:variant>
      <vt:variant>
        <vt:i4>141</vt:i4>
      </vt:variant>
      <vt:variant>
        <vt:i4>0</vt:i4>
      </vt:variant>
      <vt:variant>
        <vt:i4>5</vt:i4>
      </vt:variant>
      <vt:variant>
        <vt:lpwstr>https://president.gov.mt/media/retired-judge-anthony-abela-takes-the-oath-of-office-as-maltas-first-commissioner-for-judicial-standards/</vt:lpwstr>
      </vt:variant>
      <vt:variant>
        <vt:lpwstr/>
      </vt:variant>
      <vt:variant>
        <vt:i4>6422572</vt:i4>
      </vt:variant>
      <vt:variant>
        <vt:i4>138</vt:i4>
      </vt:variant>
      <vt:variant>
        <vt:i4>0</vt:i4>
      </vt:variant>
      <vt:variant>
        <vt:i4>5</vt:i4>
      </vt:variant>
      <vt:variant>
        <vt:lpwstr>https://parlament.mt/en/14th-leg/acts/</vt:lpwstr>
      </vt:variant>
      <vt:variant>
        <vt:lpwstr/>
      </vt:variant>
      <vt:variant>
        <vt:i4>1704014</vt:i4>
      </vt:variant>
      <vt:variant>
        <vt:i4>135</vt:i4>
      </vt:variant>
      <vt:variant>
        <vt:i4>0</vt:i4>
      </vt:variant>
      <vt:variant>
        <vt:i4>5</vt:i4>
      </vt:variant>
      <vt:variant>
        <vt:lpwstr>https://odihr.osce.org/sites/default/files/f/documents/1/b/596929.pdf</vt:lpwstr>
      </vt:variant>
      <vt:variant>
        <vt:lpwstr/>
      </vt:variant>
      <vt:variant>
        <vt:i4>4259904</vt:i4>
      </vt:variant>
      <vt:variant>
        <vt:i4>132</vt:i4>
      </vt:variant>
      <vt:variant>
        <vt:i4>0</vt:i4>
      </vt:variant>
      <vt:variant>
        <vt:i4>5</vt:i4>
      </vt:variant>
      <vt:variant>
        <vt:lpwstr>https://odihr.osce.org/sites/default/files/f/documents/8/7/522712.pdf</vt:lpwstr>
      </vt:variant>
      <vt:variant>
        <vt:lpwstr/>
      </vt:variant>
      <vt:variant>
        <vt:i4>6815848</vt:i4>
      </vt:variant>
      <vt:variant>
        <vt:i4>129</vt:i4>
      </vt:variant>
      <vt:variant>
        <vt:i4>0</vt:i4>
      </vt:variant>
      <vt:variant>
        <vt:i4>5</vt:i4>
      </vt:variant>
      <vt:variant>
        <vt:lpwstr>https://odihr.osce.org/odihr/596929</vt:lpwstr>
      </vt:variant>
      <vt:variant>
        <vt:lpwstr/>
      </vt:variant>
      <vt:variant>
        <vt:i4>4980766</vt:i4>
      </vt:variant>
      <vt:variant>
        <vt:i4>126</vt:i4>
      </vt:variant>
      <vt:variant>
        <vt:i4>0</vt:i4>
      </vt:variant>
      <vt:variant>
        <vt:i4>5</vt:i4>
      </vt:variant>
      <vt:variant>
        <vt:lpwstr>https://one.oecd.org/document/GOV/PGC/INT(2022)9/FINAL/en/pdf</vt:lpwstr>
      </vt:variant>
      <vt:variant>
        <vt:lpwstr/>
      </vt:variant>
      <vt:variant>
        <vt:i4>4325484</vt:i4>
      </vt:variant>
      <vt:variant>
        <vt:i4>123</vt:i4>
      </vt:variant>
      <vt:variant>
        <vt:i4>0</vt:i4>
      </vt:variant>
      <vt:variant>
        <vt:i4>5</vt:i4>
      </vt:variant>
      <vt:variant>
        <vt:lpwstr>https://www.oecd.org/content/dam/oecd/en/publications/reports/ 2023/10/public-integrity-in-malta_009f6d5a/0ecc469e-en.pdf</vt:lpwstr>
      </vt:variant>
      <vt:variant>
        <vt:lpwstr/>
      </vt:variant>
      <vt:variant>
        <vt:i4>2818167</vt:i4>
      </vt:variant>
      <vt:variant>
        <vt:i4>120</vt:i4>
      </vt:variant>
      <vt:variant>
        <vt:i4>0</vt:i4>
      </vt:variant>
      <vt:variant>
        <vt:i4>5</vt:i4>
      </vt:variant>
      <vt:variant>
        <vt:lpwstr>https://doi.org/10.1787/6f007516-en</vt:lpwstr>
      </vt:variant>
      <vt:variant>
        <vt:lpwstr/>
      </vt:variant>
      <vt:variant>
        <vt:i4>7012387</vt:i4>
      </vt:variant>
      <vt:variant>
        <vt:i4>117</vt:i4>
      </vt:variant>
      <vt:variant>
        <vt:i4>0</vt:i4>
      </vt:variant>
      <vt:variant>
        <vt:i4>5</vt:i4>
      </vt:variant>
      <vt:variant>
        <vt:lpwstr>https://movimentgraffitti.org/2026/04/ 12/gustizzja-ghal-artna-organisations-gather-in-front-of-castille-demanding-genuine-planning-reform/</vt:lpwstr>
      </vt:variant>
      <vt:variant>
        <vt:lpwstr/>
      </vt:variant>
      <vt:variant>
        <vt:i4>1179653</vt:i4>
      </vt:variant>
      <vt:variant>
        <vt:i4>114</vt:i4>
      </vt:variant>
      <vt:variant>
        <vt:i4>0</vt:i4>
      </vt:variant>
      <vt:variant>
        <vt:i4>5</vt:i4>
      </vt:variant>
      <vt:variant>
        <vt:lpwstr>https://maltacvs.org/wp-content/uploads/2025/12/FINAL-Strategy-book-EN-version-3-SQUARE-1.pdf</vt:lpwstr>
      </vt:variant>
      <vt:variant>
        <vt:lpwstr/>
      </vt:variant>
      <vt:variant>
        <vt:i4>7536674</vt:i4>
      </vt:variant>
      <vt:variant>
        <vt:i4>111</vt:i4>
      </vt:variant>
      <vt:variant>
        <vt:i4>0</vt:i4>
      </vt:variant>
      <vt:variant>
        <vt:i4>5</vt:i4>
      </vt:variant>
      <vt:variant>
        <vt:lpwstr>https://www.gov.mt/en/Government/Press Releases/Pages/2023/12/20/pr231623.aspx</vt:lpwstr>
      </vt:variant>
      <vt:variant>
        <vt:lpwstr/>
      </vt:variant>
      <vt:variant>
        <vt:i4>2031630</vt:i4>
      </vt:variant>
      <vt:variant>
        <vt:i4>108</vt:i4>
      </vt:variant>
      <vt:variant>
        <vt:i4>0</vt:i4>
      </vt:variant>
      <vt:variant>
        <vt:i4>5</vt:i4>
      </vt:variant>
      <vt:variant>
        <vt:lpwstr>https://www.gov.mt/en/Government/DOI/Press Releases/Pages/2025/11/17/pr252041en.aspx</vt:lpwstr>
      </vt:variant>
      <vt:variant>
        <vt:lpwstr/>
      </vt:variant>
      <vt:variant>
        <vt:i4>2621499</vt:i4>
      </vt:variant>
      <vt:variant>
        <vt:i4>105</vt:i4>
      </vt:variant>
      <vt:variant>
        <vt:i4>0</vt:i4>
      </vt:variant>
      <vt:variant>
        <vt:i4>5</vt:i4>
      </vt:variant>
      <vt:variant>
        <vt:lpwstr>https://finance.gov.mt/wp-content/uploads/2026/01/Financial-Estimates-2026.pdf</vt:lpwstr>
      </vt:variant>
      <vt:variant>
        <vt:lpwstr/>
      </vt:variant>
      <vt:variant>
        <vt:i4>2883705</vt:i4>
      </vt:variant>
      <vt:variant>
        <vt:i4>102</vt:i4>
      </vt:variant>
      <vt:variant>
        <vt:i4>0</vt:i4>
      </vt:variant>
      <vt:variant>
        <vt:i4>5</vt:i4>
      </vt:variant>
      <vt:variant>
        <vt:lpwstr>https://pulizija.gov.mt/wp-content/uploads/2025/09/Corporate-Strategy-2025-2030.pdf</vt:lpwstr>
      </vt:variant>
      <vt:variant>
        <vt:lpwstr/>
      </vt:variant>
      <vt:variant>
        <vt:i4>3407969</vt:i4>
      </vt:variant>
      <vt:variant>
        <vt:i4>99</vt:i4>
      </vt:variant>
      <vt:variant>
        <vt:i4>0</vt:i4>
      </vt:variant>
      <vt:variant>
        <vt:i4>5</vt:i4>
      </vt:variant>
      <vt:variant>
        <vt:lpwstr>https://legislation.mt/LegalNotices</vt:lpwstr>
      </vt:variant>
      <vt:variant>
        <vt:lpwstr/>
      </vt:variant>
      <vt:variant>
        <vt:i4>8323186</vt:i4>
      </vt:variant>
      <vt:variant>
        <vt:i4>96</vt:i4>
      </vt:variant>
      <vt:variant>
        <vt:i4>0</vt:i4>
      </vt:variant>
      <vt:variant>
        <vt:i4>5</vt:i4>
      </vt:variant>
      <vt:variant>
        <vt:lpwstr>https://www.independent.com.mt/articles/2025-08-03/blogs-opinions/Government-s-legalised-rape-of-Malta-s-environment-6736272086</vt:lpwstr>
      </vt:variant>
      <vt:variant>
        <vt:lpwstr/>
      </vt:variant>
      <vt:variant>
        <vt:i4>4456543</vt:i4>
      </vt:variant>
      <vt:variant>
        <vt:i4>93</vt:i4>
      </vt:variant>
      <vt:variant>
        <vt:i4>0</vt:i4>
      </vt:variant>
      <vt:variant>
        <vt:i4>5</vt:i4>
      </vt:variant>
      <vt:variant>
        <vt:lpwstr>https://www.independent.com.mt/articles/2025-08-10/blogs-opinions/The-rule-of-law-and-government-s-planning-bills-6736272249</vt:lpwstr>
      </vt:variant>
      <vt:variant>
        <vt:lpwstr/>
      </vt:variant>
      <vt:variant>
        <vt:i4>8192055</vt:i4>
      </vt:variant>
      <vt:variant>
        <vt:i4>90</vt:i4>
      </vt:variant>
      <vt:variant>
        <vt:i4>0</vt:i4>
      </vt:variant>
      <vt:variant>
        <vt:i4>5</vt:i4>
      </vt:variant>
      <vt:variant>
        <vt:lpwstr>https://www.imf.org/-/media/files/publications/cr/2026/english/1mltea2026001-source-pdf.pdf</vt:lpwstr>
      </vt:variant>
      <vt:variant>
        <vt:lpwstr/>
      </vt:variant>
      <vt:variant>
        <vt:i4>4063355</vt:i4>
      </vt:variant>
      <vt:variant>
        <vt:i4>87</vt:i4>
      </vt:variant>
      <vt:variant>
        <vt:i4>0</vt:i4>
      </vt:variant>
      <vt:variant>
        <vt:i4>5</vt:i4>
      </vt:variant>
      <vt:variant>
        <vt:lpwstr>https://parlament.mt/media/134013/bill-134-constitution-of-malta-amendment-bill.pdf</vt:lpwstr>
      </vt:variant>
      <vt:variant>
        <vt:lpwstr/>
      </vt:variant>
      <vt:variant>
        <vt:i4>3276845</vt:i4>
      </vt:variant>
      <vt:variant>
        <vt:i4>84</vt:i4>
      </vt:variant>
      <vt:variant>
        <vt:i4>0</vt:i4>
      </vt:variant>
      <vt:variant>
        <vt:i4>5</vt:i4>
      </vt:variant>
      <vt:variant>
        <vt:lpwstr>https://www.parlament.mt/14th-leg/bills/bill-143-development-planning/</vt:lpwstr>
      </vt:variant>
      <vt:variant>
        <vt:lpwstr/>
      </vt:variant>
      <vt:variant>
        <vt:i4>3604535</vt:i4>
      </vt:variant>
      <vt:variant>
        <vt:i4>81</vt:i4>
      </vt:variant>
      <vt:variant>
        <vt:i4>0</vt:i4>
      </vt:variant>
      <vt:variant>
        <vt:i4>5</vt:i4>
      </vt:variant>
      <vt:variant>
        <vt:lpwstr>https://parlament.mt/14th-leg/bills/bill-144-environment-and-planning-review-tribunal/</vt:lpwstr>
      </vt:variant>
      <vt:variant>
        <vt:lpwstr/>
      </vt:variant>
      <vt:variant>
        <vt:i4>3735595</vt:i4>
      </vt:variant>
      <vt:variant>
        <vt:i4>78</vt:i4>
      </vt:variant>
      <vt:variant>
        <vt:i4>0</vt:i4>
      </vt:variant>
      <vt:variant>
        <vt:i4>5</vt:i4>
      </vt:variant>
      <vt:variant>
        <vt:lpwstr>https://www.parlament.mt/en/14th-leg/bills/bill-017-committee-for-the-recommendation-of-measures-for-the-protection-of-journalistspdf/</vt:lpwstr>
      </vt:variant>
      <vt:variant>
        <vt:lpwstr/>
      </vt:variant>
      <vt:variant>
        <vt:i4>1441881</vt:i4>
      </vt:variant>
      <vt:variant>
        <vt:i4>75</vt:i4>
      </vt:variant>
      <vt:variant>
        <vt:i4>0</vt:i4>
      </vt:variant>
      <vt:variant>
        <vt:i4>5</vt:i4>
      </vt:variant>
      <vt:variant>
        <vt:lpwstr>https://www.parlament.mt/en/14th-leg/bills/bill-018-constitution-of-malta-amendment-bill/</vt:lpwstr>
      </vt:variant>
      <vt:variant>
        <vt:lpwstr/>
      </vt:variant>
      <vt:variant>
        <vt:i4>1704023</vt:i4>
      </vt:variant>
      <vt:variant>
        <vt:i4>72</vt:i4>
      </vt:variant>
      <vt:variant>
        <vt:i4>0</vt:i4>
      </vt:variant>
      <vt:variant>
        <vt:i4>5</vt:i4>
      </vt:variant>
      <vt:variant>
        <vt:lpwstr>https://www.parlament.mt/en/14th-leg/bills/bill-019-protection-of-the-media-and-journalists-various-laws-amendment-bill/</vt:lpwstr>
      </vt:variant>
      <vt:variant>
        <vt:lpwstr/>
      </vt:variant>
      <vt:variant>
        <vt:i4>5242966</vt:i4>
      </vt:variant>
      <vt:variant>
        <vt:i4>69</vt:i4>
      </vt:variant>
      <vt:variant>
        <vt:i4>0</vt:i4>
      </vt:variant>
      <vt:variant>
        <vt:i4>5</vt:i4>
      </vt:variant>
      <vt:variant>
        <vt:lpwstr>https://rm.coe.int/fifth-evaluation-round-preventing-corruption-and-promoting-integrity-i/4880297b95</vt:lpwstr>
      </vt:variant>
      <vt:variant>
        <vt:lpwstr/>
      </vt:variant>
      <vt:variant>
        <vt:i4>589842</vt:i4>
      </vt:variant>
      <vt:variant>
        <vt:i4>66</vt:i4>
      </vt:variant>
      <vt:variant>
        <vt:i4>0</vt:i4>
      </vt:variant>
      <vt:variant>
        <vt:i4>5</vt:i4>
      </vt:variant>
      <vt:variant>
        <vt:lpwstr>https://justice.gov.mt/wp-content/uploads/2025/12/Executive-Summary-1-for-M6.5-December-2025.pdf</vt:lpwstr>
      </vt:variant>
      <vt:variant>
        <vt:lpwstr/>
      </vt:variant>
      <vt:variant>
        <vt:i4>6225944</vt:i4>
      </vt:variant>
      <vt:variant>
        <vt:i4>63</vt:i4>
      </vt:variant>
      <vt:variant>
        <vt:i4>0</vt:i4>
      </vt:variant>
      <vt:variant>
        <vt:i4>5</vt:i4>
      </vt:variant>
      <vt:variant>
        <vt:lpwstr>https://www.maltatoday.com.mt/comment/opinions/136664/ planning_for_modern_justice_what_does_it_even_mean</vt:lpwstr>
      </vt:variant>
      <vt:variant>
        <vt:lpwstr/>
      </vt:variant>
      <vt:variant>
        <vt:i4>2490469</vt:i4>
      </vt:variant>
      <vt:variant>
        <vt:i4>60</vt:i4>
      </vt:variant>
      <vt:variant>
        <vt:i4>0</vt:i4>
      </vt:variant>
      <vt:variant>
        <vt:i4>5</vt:i4>
      </vt:variant>
      <vt:variant>
        <vt:lpwstr>https://www.daphne.foundation/documents/reports/ justice-at-risk-delayed-court-proceedings-in-malta.pdf</vt:lpwstr>
      </vt:variant>
      <vt:variant>
        <vt:lpwstr/>
      </vt:variant>
      <vt:variant>
        <vt:i4>1900571</vt:i4>
      </vt:variant>
      <vt:variant>
        <vt:i4>57</vt:i4>
      </vt:variant>
      <vt:variant>
        <vt:i4>0</vt:i4>
      </vt:variant>
      <vt:variant>
        <vt:i4>5</vt:i4>
      </vt:variant>
      <vt:variant>
        <vt:lpwstr>https://eur-lex.europa.eu/eli/C/2025/3238/oj/eng</vt:lpwstr>
      </vt:variant>
      <vt:variant>
        <vt:lpwstr/>
      </vt:variant>
      <vt:variant>
        <vt:i4>6357066</vt:i4>
      </vt:variant>
      <vt:variant>
        <vt:i4>54</vt:i4>
      </vt:variant>
      <vt:variant>
        <vt:i4>0</vt:i4>
      </vt:variant>
      <vt:variant>
        <vt:i4>5</vt:i4>
      </vt:variant>
      <vt:variant>
        <vt:lpwstr>https://www.coe.int/en/web/implementation/attorney-general-and-state-advocate-in-malta/-/asset_publisher/viLgZXC0OZhs/content/marking-the-successful-completion-of-malta-s-attorney-general-and-state-advocate-offices-re-organisation</vt:lpwstr>
      </vt:variant>
      <vt:variant>
        <vt:lpwstr/>
      </vt:variant>
      <vt:variant>
        <vt:i4>851992</vt:i4>
      </vt:variant>
      <vt:variant>
        <vt:i4>51</vt:i4>
      </vt:variant>
      <vt:variant>
        <vt:i4>0</vt:i4>
      </vt:variant>
      <vt:variant>
        <vt:i4>5</vt:i4>
      </vt:variant>
      <vt:variant>
        <vt:lpwstr>https://rm.coe.int/2025-annual-report/48802b1633</vt:lpwstr>
      </vt:variant>
      <vt:variant>
        <vt:lpwstr/>
      </vt:variant>
      <vt:variant>
        <vt:i4>196609</vt:i4>
      </vt:variant>
      <vt:variant>
        <vt:i4>48</vt:i4>
      </vt:variant>
      <vt:variant>
        <vt:i4>0</vt:i4>
      </vt:variant>
      <vt:variant>
        <vt:i4>5</vt:i4>
      </vt:variant>
      <vt:variant>
        <vt:lpwstr>https://constitutionnet.org/news/voices/maltese-government-advances-narrow-reform-while-broader-constitutional-package-collapses</vt:lpwstr>
      </vt:variant>
      <vt:variant>
        <vt:lpwstr/>
      </vt:variant>
      <vt:variant>
        <vt:i4>4653058</vt:i4>
      </vt:variant>
      <vt:variant>
        <vt:i4>45</vt:i4>
      </vt:variant>
      <vt:variant>
        <vt:i4>0</vt:i4>
      </vt:variant>
      <vt:variant>
        <vt:i4>5</vt:i4>
      </vt:variant>
      <vt:variant>
        <vt:lpwstr>https://legislation.mt/eli/const/eng</vt:lpwstr>
      </vt:variant>
      <vt:variant>
        <vt:lpwstr/>
      </vt:variant>
      <vt:variant>
        <vt:i4>3145846</vt:i4>
      </vt:variant>
      <vt:variant>
        <vt:i4>42</vt:i4>
      </vt:variant>
      <vt:variant>
        <vt:i4>0</vt:i4>
      </vt:variant>
      <vt:variant>
        <vt:i4>5</vt:i4>
      </vt:variant>
      <vt:variant>
        <vt:lpwstr>https://standardscommissioner.mt/wp-content/uploads/letter-to-pm-2026-01-06-en.pdf</vt:lpwstr>
      </vt:variant>
      <vt:variant>
        <vt:lpwstr/>
      </vt:variant>
      <vt:variant>
        <vt:i4>983115</vt:i4>
      </vt:variant>
      <vt:variant>
        <vt:i4>39</vt:i4>
      </vt:variant>
      <vt:variant>
        <vt:i4>0</vt:i4>
      </vt:variant>
      <vt:variant>
        <vt:i4>5</vt:i4>
      </vt:variant>
      <vt:variant>
        <vt:lpwstr>https://monitor.civicus.org/explore/malta-large-mobilisation-against-planning-bills/</vt:lpwstr>
      </vt:variant>
      <vt:variant>
        <vt:lpwstr/>
      </vt:variant>
      <vt:variant>
        <vt:i4>1114182</vt:i4>
      </vt:variant>
      <vt:variant>
        <vt:i4>36</vt:i4>
      </vt:variant>
      <vt:variant>
        <vt:i4>0</vt:i4>
      </vt:variant>
      <vt:variant>
        <vt:i4>5</vt:i4>
      </vt:variant>
      <vt:variant>
        <vt:lpwstr>https://www.liberties.eu/f/wtaqoq</vt:lpwstr>
      </vt:variant>
      <vt:variant>
        <vt:lpwstr/>
      </vt:variant>
      <vt:variant>
        <vt:i4>7077927</vt:i4>
      </vt:variant>
      <vt:variant>
        <vt:i4>33</vt:i4>
      </vt:variant>
      <vt:variant>
        <vt:i4>0</vt:i4>
      </vt:variant>
      <vt:variant>
        <vt:i4>5</vt:i4>
      </vt:variant>
      <vt:variant>
        <vt:lpwstr>https://judiciary.mt/wp-content/uploads/2025/10/Diskors-Ftuh-tas-Sena-Forensi-Ottubru-2025.pdf</vt:lpwstr>
      </vt:variant>
      <vt:variant>
        <vt:lpwstr/>
      </vt:variant>
      <vt:variant>
        <vt:i4>1048651</vt:i4>
      </vt:variant>
      <vt:variant>
        <vt:i4>30</vt:i4>
      </vt:variant>
      <vt:variant>
        <vt:i4>0</vt:i4>
      </vt:variant>
      <vt:variant>
        <vt:i4>5</vt:i4>
      </vt:variant>
      <vt:variant>
        <vt:lpwstr>https://maltachamber.org.mt/quest-for-truth-and-justice/</vt:lpwstr>
      </vt:variant>
      <vt:variant>
        <vt:lpwstr/>
      </vt:variant>
      <vt:variant>
        <vt:i4>3670049</vt:i4>
      </vt:variant>
      <vt:variant>
        <vt:i4>27</vt:i4>
      </vt:variant>
      <vt:variant>
        <vt:i4>0</vt:i4>
      </vt:variant>
      <vt:variant>
        <vt:i4>5</vt:i4>
      </vt:variant>
      <vt:variant>
        <vt:lpwstr>https://avukati.org/news/pa-bills-statement-from-the-chamber-of-advocates/</vt:lpwstr>
      </vt:variant>
      <vt:variant>
        <vt:lpwstr/>
      </vt:variant>
      <vt:variant>
        <vt:i4>65553</vt:i4>
      </vt:variant>
      <vt:variant>
        <vt:i4>24</vt:i4>
      </vt:variant>
      <vt:variant>
        <vt:i4>0</vt:i4>
      </vt:variant>
      <vt:variant>
        <vt:i4>5</vt:i4>
      </vt:variant>
      <vt:variant>
        <vt:lpwstr>https://avukati.org/news/public-statement-on-the-protection-of-agricultural-land-regulations/</vt:lpwstr>
      </vt:variant>
      <vt:variant>
        <vt:lpwstr/>
      </vt:variant>
      <vt:variant>
        <vt:i4>3407998</vt:i4>
      </vt:variant>
      <vt:variant>
        <vt:i4>21</vt:i4>
      </vt:variant>
      <vt:variant>
        <vt:i4>0</vt:i4>
      </vt:variant>
      <vt:variant>
        <vt:i4>5</vt:i4>
      </vt:variant>
      <vt:variant>
        <vt:lpwstr>https://avukati.org/uncategorised/stqarrija-dwar-il-hatra-ghall-kariga-ta-prim-imhallef-tal-qrati/</vt:lpwstr>
      </vt:variant>
      <vt:variant>
        <vt:lpwstr/>
      </vt:variant>
      <vt:variant>
        <vt:i4>6619257</vt:i4>
      </vt:variant>
      <vt:variant>
        <vt:i4>18</vt:i4>
      </vt:variant>
      <vt:variant>
        <vt:i4>0</vt:i4>
      </vt:variant>
      <vt:variant>
        <vt:i4>5</vt:i4>
      </vt:variant>
      <vt:variant>
        <vt:lpwstr>https://avukati.org/news/stqarrija-dwar-il-hatra-ghall-kariga-ta-prim-imhallef-tal-qrati-2/</vt:lpwstr>
      </vt:variant>
      <vt:variant>
        <vt:lpwstr/>
      </vt:variant>
      <vt:variant>
        <vt:i4>7995392</vt:i4>
      </vt:variant>
      <vt:variant>
        <vt:i4>15</vt:i4>
      </vt:variant>
      <vt:variant>
        <vt:i4>0</vt:i4>
      </vt:variant>
      <vt:variant>
        <vt:i4>5</vt:i4>
      </vt:variant>
      <vt:variant>
        <vt:lpwstr>https://commission.europa.eu/document/download/8cdf178c-a54e-4c6f-ae3d-8c05013e5366_en?filename=Part%201%20-%20Data%20tables%20per%20indicator%20for%20all%20EU%20Member%20States.pdf</vt:lpwstr>
      </vt:variant>
      <vt:variant>
        <vt:lpwstr/>
      </vt:variant>
      <vt:variant>
        <vt:i4>2818086</vt:i4>
      </vt:variant>
      <vt:variant>
        <vt:i4>12</vt:i4>
      </vt:variant>
      <vt:variant>
        <vt:i4>0</vt:i4>
      </vt:variant>
      <vt:variant>
        <vt:i4>5</vt:i4>
      </vt:variant>
      <vt:variant>
        <vt:lpwstr>https://birdlifemalta.org/2025/10/thousands-protest-in-valletta-against-governments-controversial-planning-reform/</vt:lpwstr>
      </vt:variant>
      <vt:variant>
        <vt:lpwstr/>
      </vt:variant>
      <vt:variant>
        <vt:i4>6357030</vt:i4>
      </vt:variant>
      <vt:variant>
        <vt:i4>9</vt:i4>
      </vt:variant>
      <vt:variant>
        <vt:i4>0</vt:i4>
      </vt:variant>
      <vt:variant>
        <vt:i4>5</vt:i4>
      </vt:variant>
      <vt:variant>
        <vt:lpwstr>https://aditus.org.mt/bill-134-rushed-judicial-constitutional-amendments-without-consultation/</vt:lpwstr>
      </vt:variant>
      <vt:variant>
        <vt:lpwstr/>
      </vt:variant>
      <vt:variant>
        <vt:i4>4063268</vt:i4>
      </vt:variant>
      <vt:variant>
        <vt:i4>6</vt:i4>
      </vt:variant>
      <vt:variant>
        <vt:i4>0</vt:i4>
      </vt:variant>
      <vt:variant>
        <vt:i4>5</vt:i4>
      </vt:variant>
      <vt:variant>
        <vt:lpwstr>https://aditus.org.mt/bill-125-in-genere-inquests/</vt:lpwstr>
      </vt:variant>
      <vt:variant>
        <vt:lpwstr/>
      </vt:variant>
      <vt:variant>
        <vt:i4>5701698</vt:i4>
      </vt:variant>
      <vt:variant>
        <vt:i4>3</vt:i4>
      </vt:variant>
      <vt:variant>
        <vt:i4>0</vt:i4>
      </vt:variant>
      <vt:variant>
        <vt:i4>5</vt:i4>
      </vt:variant>
      <vt:variant>
        <vt:lpwstr>https://aditus.org.mt/chief-justice-press-statement/</vt:lpwstr>
      </vt:variant>
      <vt:variant>
        <vt:lpwstr/>
      </vt:variant>
      <vt:variant>
        <vt:i4>6619165</vt:i4>
      </vt:variant>
      <vt:variant>
        <vt:i4>0</vt:i4>
      </vt:variant>
      <vt:variant>
        <vt:i4>0</vt:i4>
      </vt:variant>
      <vt:variant>
        <vt:i4>5</vt:i4>
      </vt:variant>
      <vt:variant>
        <vt:lpwstr>https://commission.europa.eu/publications/2026-rule-law-report-targeted-stakeholder-consultation_en</vt:lpwstr>
      </vt:variant>
      <vt:variant>
        <vt:lpwstr/>
      </vt:variant>
      <vt:variant>
        <vt:i4>3538995</vt:i4>
      </vt:variant>
      <vt:variant>
        <vt:i4>27</vt:i4>
      </vt:variant>
      <vt:variant>
        <vt:i4>0</vt:i4>
      </vt:variant>
      <vt:variant>
        <vt:i4>5</vt:i4>
      </vt:variant>
      <vt:variant>
        <vt:lpwstr>https://monitor.civicus.org/country/malta/</vt:lpwstr>
      </vt:variant>
      <vt:variant>
        <vt:lpwstr/>
      </vt:variant>
      <vt:variant>
        <vt:i4>4587524</vt:i4>
      </vt:variant>
      <vt:variant>
        <vt:i4>24</vt:i4>
      </vt:variant>
      <vt:variant>
        <vt:i4>0</vt:i4>
      </vt:variant>
      <vt:variant>
        <vt:i4>5</vt:i4>
      </vt:variant>
      <vt:variant>
        <vt:lpwstr>https://www.coe.int/en/web/execution/the-supervision-process</vt:lpwstr>
      </vt:variant>
      <vt:variant>
        <vt:lpwstr/>
      </vt:variant>
      <vt:variant>
        <vt:i4>2162785</vt:i4>
      </vt:variant>
      <vt:variant>
        <vt:i4>21</vt:i4>
      </vt:variant>
      <vt:variant>
        <vt:i4>0</vt:i4>
      </vt:variant>
      <vt:variant>
        <vt:i4>5</vt:i4>
      </vt:variant>
      <vt:variant>
        <vt:lpwstr>https://www.coe.int/en/web/execution/malta</vt:lpwstr>
      </vt:variant>
      <vt:variant>
        <vt:lpwstr/>
      </vt:variant>
      <vt:variant>
        <vt:i4>5242881</vt:i4>
      </vt:variant>
      <vt:variant>
        <vt:i4>18</vt:i4>
      </vt:variant>
      <vt:variant>
        <vt:i4>0</vt:i4>
      </vt:variant>
      <vt:variant>
        <vt:i4>5</vt:i4>
      </vt:variant>
      <vt:variant>
        <vt:lpwstr>https://www.mfrr.eu/monitor/</vt:lpwstr>
      </vt:variant>
      <vt:variant>
        <vt:lpwstr/>
      </vt:variant>
      <vt:variant>
        <vt:i4>8061034</vt:i4>
      </vt:variant>
      <vt:variant>
        <vt:i4>15</vt:i4>
      </vt:variant>
      <vt:variant>
        <vt:i4>0</vt:i4>
      </vt:variant>
      <vt:variant>
        <vt:i4>5</vt:i4>
      </vt:variant>
      <vt:variant>
        <vt:lpwstr>https://fom.coe.int/en/pays/detail/11709548</vt:lpwstr>
      </vt:variant>
      <vt:variant>
        <vt:lpwstr/>
      </vt:variant>
      <vt:variant>
        <vt:i4>3080306</vt:i4>
      </vt:variant>
      <vt:variant>
        <vt:i4>12</vt:i4>
      </vt:variant>
      <vt:variant>
        <vt:i4>0</vt:i4>
      </vt:variant>
      <vt:variant>
        <vt:i4>5</vt:i4>
      </vt:variant>
      <vt:variant>
        <vt:lpwstr>https://foi.gov.mt/en/</vt:lpwstr>
      </vt:variant>
      <vt:variant>
        <vt:lpwstr/>
      </vt:variant>
      <vt:variant>
        <vt:i4>3342444</vt:i4>
      </vt:variant>
      <vt:variant>
        <vt:i4>9</vt:i4>
      </vt:variant>
      <vt:variant>
        <vt:i4>0</vt:i4>
      </vt:variant>
      <vt:variant>
        <vt:i4>5</vt:i4>
      </vt:variant>
      <vt:variant>
        <vt:lpwstr>https://globalfreedomofexpression.columbia.edu/wp-content/uploads/2021/12/public-inquiry-report-en.pdf</vt:lpwstr>
      </vt:variant>
      <vt:variant>
        <vt:lpwstr/>
      </vt:variant>
      <vt:variant>
        <vt:i4>1310732</vt:i4>
      </vt:variant>
      <vt:variant>
        <vt:i4>6</vt:i4>
      </vt:variant>
      <vt:variant>
        <vt:i4>0</vt:i4>
      </vt:variant>
      <vt:variant>
        <vt:i4>5</vt:i4>
      </vt:variant>
      <vt:variant>
        <vt:lpwstr>https://hudoc.echr.coe.int/fre</vt:lpwstr>
      </vt:variant>
      <vt:variant>
        <vt:lpwstr>{%22itemid%22:[%22001-237438%22]}</vt:lpwstr>
      </vt:variant>
      <vt:variant>
        <vt:i4>4063355</vt:i4>
      </vt:variant>
      <vt:variant>
        <vt:i4>3</vt:i4>
      </vt:variant>
      <vt:variant>
        <vt:i4>0</vt:i4>
      </vt:variant>
      <vt:variant>
        <vt:i4>5</vt:i4>
      </vt:variant>
      <vt:variant>
        <vt:lpwstr>https://parlament.mt/media/134013/bill-134-constitution-of-malta-amendment-bill.pdf</vt:lpwstr>
      </vt:variant>
      <vt:variant>
        <vt:lpwstr/>
      </vt:variant>
      <vt:variant>
        <vt:i4>2031731</vt:i4>
      </vt:variant>
      <vt:variant>
        <vt:i4>0</vt:i4>
      </vt:variant>
      <vt:variant>
        <vt:i4>0</vt:i4>
      </vt:variant>
      <vt:variant>
        <vt:i4>5</vt:i4>
      </vt:variant>
      <vt:variant>
        <vt:lpwstr>https://commission.europa.eu/document/c19f24ea-0362-4375-9edf-9665fddbc6af_en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2026-07-15T21:53:00Z</dcterms:created>
  <dcterms:modified xsi:type="dcterms:W3CDTF">2026-07-16T19:28:00Z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Name">
    <vt:lpwstr>Commission Use</vt:lpwstr>
  </property>
  <property fmtid="{D5CDD505-2E9C-101B-9397-08002B2CF9AE}" pid="5" name="Part">
    <vt:lpwstr>1</vt:lpwstr>
  </property>
  <property fmtid="{D5CDD505-2E9C-101B-9397-08002B2CF9AE}" pid="6" name="MSIP_Label_6bd9ddd1-4d20-43f6-abfa-fc3c07406f94_ContentBits">
    <vt:lpwstr>0</vt:lpwstr>
  </property>
  <property fmtid="{D5CDD505-2E9C-101B-9397-08002B2CF9AE}" pid="7" name="ContentTypeId">
    <vt:lpwstr>0x010100CD92FCBF67B53A4EB1060DF04C43C986</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Method">
    <vt:lpwstr>Standard</vt:lpwstr>
  </property>
  <property fmtid="{D5CDD505-2E9C-101B-9397-08002B2CF9AE}" pid="10" name="MSIP_Label_6bd9ddd1-4d20-43f6-abfa-fc3c07406f94_Enabled">
    <vt:lpwstr>true</vt:lpwstr>
  </property>
  <property fmtid="{D5CDD505-2E9C-101B-9397-08002B2CF9AE}" pid="11" name="Total parts">
    <vt:lpwstr>1</vt:lpwstr>
  </property>
  <property fmtid="{D5CDD505-2E9C-101B-9397-08002B2CF9AE}" pid="12" name="MSIP_Label_6bd9ddd1-4d20-43f6-abfa-fc3c07406f94_SetDate">
    <vt:lpwstr>2026-07-11T19:03:54Z</vt:lpwstr>
  </property>
  <property fmtid="{D5CDD505-2E9C-101B-9397-08002B2CF9AE}" pid="13" name="Level of sensitivity">
    <vt:lpwstr>Standard treatment</vt:lpwstr>
  </property>
  <property fmtid="{D5CDD505-2E9C-101B-9397-08002B2CF9AE}" pid="14" name="MSIP_Label_6bd9ddd1-4d20-43f6-abfa-fc3c07406f94_ActionId">
    <vt:lpwstr>4dfb0342-b4bf-4e4e-b0b6-eeb36fc4f4ee</vt:lpwstr>
  </property>
  <property fmtid="{D5CDD505-2E9C-101B-9397-08002B2CF9AE}" pid="15" name="CPTemplateID">
    <vt:lpwstr>CP-025</vt:lpwstr>
  </property>
  <property fmtid="{D5CDD505-2E9C-101B-9397-08002B2CF9AE}" pid="16" name="MSIP_Label_6bd9ddd1-4d20-43f6-abfa-fc3c07406f94_Tag">
    <vt:lpwstr>10, 3, 0, 1</vt:lpwstr>
  </property>
</Properties>
</file>